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E994B" w14:textId="6A05F98B" w:rsidR="0033595B" w:rsidRPr="00D714C1" w:rsidRDefault="00F7305A" w:rsidP="00D714C1">
      <w:pPr>
        <w:pStyle w:val="Title"/>
        <w:jc w:val="center"/>
        <w:rPr>
          <w:lang w:val="es-CO"/>
        </w:rPr>
      </w:pPr>
      <w:r w:rsidRPr="00D714C1">
        <w:rPr>
          <w:lang w:val="es-CO" w:bidi="es-CO"/>
        </w:rPr>
        <w:t xml:space="preserve">Preguntas y comentarios del webinario de </w:t>
      </w:r>
      <w:r w:rsidR="00B316FF">
        <w:rPr>
          <w:lang w:val="es-CO" w:bidi="es-CO"/>
        </w:rPr>
        <w:t>educación en el riesgo de artefactos explosivos</w:t>
      </w:r>
      <w:r w:rsidRPr="00D714C1">
        <w:rPr>
          <w:lang w:val="es-CO" w:bidi="es-CO"/>
        </w:rPr>
        <w:t>-COVID-19</w:t>
      </w:r>
    </w:p>
    <w:p w14:paraId="0CA6FC8B" w14:textId="6BD06227" w:rsidR="00DE4B8F" w:rsidRPr="00D714C1" w:rsidRDefault="00DE4B8F" w:rsidP="005C4CB8">
      <w:pPr>
        <w:pStyle w:val="NoSpacing"/>
        <w:tabs>
          <w:tab w:val="left" w:pos="1418"/>
        </w:tabs>
        <w:rPr>
          <w:lang w:val="es-CO"/>
        </w:rPr>
      </w:pPr>
      <w:r w:rsidRPr="00D714C1">
        <w:rPr>
          <w:b/>
          <w:lang w:val="es-CO" w:bidi="es-CO"/>
        </w:rPr>
        <w:t xml:space="preserve">Fecha: </w:t>
      </w:r>
      <w:r w:rsidRPr="00D714C1">
        <w:rPr>
          <w:b/>
          <w:lang w:val="es-CO" w:bidi="es-CO"/>
        </w:rPr>
        <w:tab/>
      </w:r>
      <w:r w:rsidRPr="00D714C1">
        <w:rPr>
          <w:lang w:val="es-CO" w:bidi="es-CO"/>
        </w:rPr>
        <w:t>1 de abril de 2020</w:t>
      </w:r>
    </w:p>
    <w:p w14:paraId="5F4296AA" w14:textId="2D0C5AFE" w:rsidR="001B0F08" w:rsidRPr="00D714C1" w:rsidRDefault="00DE4B8F" w:rsidP="005C4CB8">
      <w:pPr>
        <w:pStyle w:val="NoSpacing"/>
        <w:tabs>
          <w:tab w:val="left" w:pos="1418"/>
        </w:tabs>
        <w:rPr>
          <w:lang w:val="es-CO"/>
        </w:rPr>
      </w:pPr>
      <w:r w:rsidRPr="00D714C1">
        <w:rPr>
          <w:b/>
          <w:lang w:val="es-CO" w:bidi="es-CO"/>
        </w:rPr>
        <w:t>Hora:</w:t>
      </w:r>
      <w:r w:rsidRPr="00D714C1">
        <w:rPr>
          <w:b/>
          <w:lang w:val="es-CO" w:bidi="es-CO"/>
        </w:rPr>
        <w:tab/>
      </w:r>
      <w:r w:rsidRPr="00D714C1">
        <w:rPr>
          <w:lang w:val="es-CO" w:bidi="es-CO"/>
        </w:rPr>
        <w:t>1:30 p. m - 3:00 p. m. (CET)</w:t>
      </w:r>
    </w:p>
    <w:p w14:paraId="55B50965" w14:textId="0DDD98CA" w:rsidR="001B0F08" w:rsidRPr="00D714C1" w:rsidRDefault="001B0F08" w:rsidP="005C4CB8">
      <w:pPr>
        <w:pStyle w:val="NoSpacing"/>
        <w:tabs>
          <w:tab w:val="left" w:pos="1418"/>
        </w:tabs>
        <w:rPr>
          <w:b/>
          <w:bCs/>
          <w:lang w:val="es-CO"/>
        </w:rPr>
      </w:pPr>
      <w:r w:rsidRPr="00D714C1">
        <w:rPr>
          <w:b/>
          <w:lang w:val="es-CO" w:bidi="es-CO"/>
        </w:rPr>
        <w:t>Grabación:</w:t>
      </w:r>
      <w:r w:rsidRPr="00D714C1">
        <w:rPr>
          <w:b/>
          <w:lang w:val="es-CO" w:bidi="es-CO"/>
        </w:rPr>
        <w:tab/>
      </w:r>
      <w:r w:rsidR="00A07D20">
        <w:fldChar w:fldCharType="begin"/>
      </w:r>
      <w:r w:rsidR="00A07D20" w:rsidRPr="00A07D20">
        <w:rPr>
          <w:lang w:val="es-CO"/>
        </w:rPr>
        <w:instrText xml:space="preserve"> HYPERLINK "https://www.youtube.com/watch?v=OUKR9jf6-r4&amp;t=22s" </w:instrText>
      </w:r>
      <w:r w:rsidR="00A07D20">
        <w:fldChar w:fldCharType="separate"/>
      </w:r>
      <w:r w:rsidRPr="00D714C1">
        <w:rPr>
          <w:rStyle w:val="Hyperlink"/>
          <w:rFonts w:eastAsiaTheme="majorEastAsia"/>
          <w:lang w:val="es-CO" w:bidi="es-CO"/>
        </w:rPr>
        <w:t>https://www.youtube.com/watch?v=OUKR9jf6-r4&amp;t=22s</w:t>
      </w:r>
      <w:r w:rsidR="00A07D20">
        <w:rPr>
          <w:rStyle w:val="Hyperlink"/>
          <w:rFonts w:eastAsiaTheme="majorEastAsia"/>
          <w:lang w:val="es-CO" w:bidi="es-CO"/>
        </w:rPr>
        <w:fldChar w:fldCharType="end"/>
      </w:r>
      <w:r w:rsidRPr="00D714C1">
        <w:rPr>
          <w:lang w:val="es-CO" w:bidi="es-CO"/>
        </w:rPr>
        <w:t xml:space="preserve"> </w:t>
      </w:r>
    </w:p>
    <w:p w14:paraId="45A303FB" w14:textId="19DC997D" w:rsidR="00DE4B8F" w:rsidRPr="00D714C1" w:rsidRDefault="00DE4B8F" w:rsidP="00C9543C">
      <w:pPr>
        <w:pStyle w:val="NoSpacing"/>
        <w:rPr>
          <w:lang w:val="es-CO"/>
        </w:rPr>
      </w:pPr>
    </w:p>
    <w:p w14:paraId="3EF91A11" w14:textId="66B7B481" w:rsidR="00DE4B8F" w:rsidRPr="00D714C1" w:rsidRDefault="00F7305A" w:rsidP="005C4CB8">
      <w:pPr>
        <w:pStyle w:val="NoSpacing"/>
        <w:tabs>
          <w:tab w:val="left" w:pos="1418"/>
        </w:tabs>
        <w:ind w:left="1418" w:hanging="1418"/>
        <w:rPr>
          <w:lang w:val="es-CO"/>
        </w:rPr>
      </w:pPr>
      <w:r w:rsidRPr="00D714C1">
        <w:rPr>
          <w:b/>
          <w:lang w:val="es-CO" w:bidi="es-CO"/>
        </w:rPr>
        <w:t>Presidente:</w:t>
      </w:r>
      <w:r w:rsidRPr="00D714C1">
        <w:rPr>
          <w:b/>
          <w:lang w:val="es-CO" w:bidi="es-CO"/>
        </w:rPr>
        <w:tab/>
        <w:t>Hugues Laurenge</w:t>
      </w:r>
      <w:r w:rsidRPr="00D714C1">
        <w:rPr>
          <w:lang w:val="es-CO" w:bidi="es-CO"/>
        </w:rPr>
        <w:t xml:space="preserve">, especialista en Protección de la Infancia, Fondo de las Naciones Unidas para la Infancia (UNICEF) y vicepresidente del Grupo Asesor de </w:t>
      </w:r>
      <w:r w:rsidR="00B316FF">
        <w:rPr>
          <w:lang w:val="es-CO" w:bidi="es-CO"/>
        </w:rPr>
        <w:t>educación en el riesgo de artefactos explosivos</w:t>
      </w:r>
      <w:r w:rsidRPr="00D714C1">
        <w:rPr>
          <w:lang w:val="es-CO" w:bidi="es-CO"/>
        </w:rPr>
        <w:t xml:space="preserve"> (EORE, por sus siglas en inglés)</w:t>
      </w:r>
    </w:p>
    <w:p w14:paraId="0056C2E8" w14:textId="5E3C423D" w:rsidR="00886D33" w:rsidRPr="00D714C1" w:rsidRDefault="004E52E7" w:rsidP="005C4CB8">
      <w:pPr>
        <w:pStyle w:val="NoSpacing"/>
        <w:tabs>
          <w:tab w:val="left" w:pos="1418"/>
        </w:tabs>
        <w:ind w:left="1418" w:hanging="1418"/>
        <w:rPr>
          <w:lang w:val="es-CO"/>
        </w:rPr>
      </w:pPr>
      <w:r w:rsidRPr="00D714C1">
        <w:rPr>
          <w:b/>
          <w:lang w:val="es-CO" w:bidi="es-CO"/>
        </w:rPr>
        <w:t>Logística</w:t>
      </w:r>
      <w:r w:rsidRPr="00D714C1">
        <w:rPr>
          <w:b/>
          <w:lang w:val="es-CO" w:bidi="es-CO"/>
        </w:rPr>
        <w:tab/>
        <w:t>Kaitlin Hodge</w:t>
      </w:r>
      <w:r w:rsidRPr="00D714C1">
        <w:rPr>
          <w:lang w:val="es-CO" w:bidi="es-CO"/>
        </w:rPr>
        <w:t>, funcionaria de EORE, Centro Internacional de Desminado Humanitario de Ginebra (CIDHG) y secretaria del Grupo Asesor de EORE</w:t>
      </w:r>
    </w:p>
    <w:p w14:paraId="1DA52160" w14:textId="10C0BCC7" w:rsidR="00F7305A" w:rsidRPr="00D714C1" w:rsidRDefault="00F7305A" w:rsidP="005C4CB8">
      <w:pPr>
        <w:pStyle w:val="NoSpacing"/>
        <w:tabs>
          <w:tab w:val="left" w:pos="1418"/>
        </w:tabs>
        <w:ind w:left="1418" w:hanging="1418"/>
        <w:rPr>
          <w:lang w:val="es-CO"/>
        </w:rPr>
      </w:pPr>
    </w:p>
    <w:p w14:paraId="4E4F22BD" w14:textId="51EEE7FC" w:rsidR="00F7305A" w:rsidRPr="00D714C1" w:rsidRDefault="00F7305A" w:rsidP="005C4CB8">
      <w:pPr>
        <w:pStyle w:val="NoSpacing"/>
        <w:tabs>
          <w:tab w:val="left" w:pos="1418"/>
        </w:tabs>
        <w:ind w:left="1418" w:hanging="1418"/>
        <w:rPr>
          <w:lang w:val="es-CO"/>
        </w:rPr>
      </w:pPr>
      <w:r w:rsidRPr="00D714C1">
        <w:rPr>
          <w:b/>
          <w:lang w:val="es-CO" w:bidi="es-CO"/>
        </w:rPr>
        <w:t>Panelistas:</w:t>
      </w:r>
      <w:r w:rsidRPr="00D714C1">
        <w:rPr>
          <w:b/>
          <w:lang w:val="es-CO" w:bidi="es-CO"/>
        </w:rPr>
        <w:tab/>
        <w:t>Sebastian Kasack</w:t>
      </w:r>
      <w:r w:rsidRPr="00D714C1">
        <w:rPr>
          <w:lang w:val="es-CO" w:bidi="es-CO"/>
        </w:rPr>
        <w:t xml:space="preserve">, asesor sénior de enlace con la comunidad, Grupo Asesor de Minas (MAG, por sus siglas en inglés) y vicepresidente del Grupo Asesor de </w:t>
      </w:r>
      <w:r w:rsidR="00B316FF">
        <w:rPr>
          <w:lang w:val="es-CO" w:bidi="es-CO"/>
        </w:rPr>
        <w:t>educación en el riesgo de artefactos explosivos</w:t>
      </w:r>
      <w:r w:rsidRPr="00D714C1">
        <w:rPr>
          <w:lang w:val="es-CO" w:bidi="es-CO"/>
        </w:rPr>
        <w:t xml:space="preserve"> (EORE)</w:t>
      </w:r>
    </w:p>
    <w:p w14:paraId="11B08473" w14:textId="187C51AD" w:rsidR="004E52E7" w:rsidRPr="00D714C1" w:rsidRDefault="004E52E7" w:rsidP="781C17F4">
      <w:pPr>
        <w:pStyle w:val="NoSpacing"/>
        <w:tabs>
          <w:tab w:val="left" w:pos="1418"/>
        </w:tabs>
        <w:ind w:left="1416"/>
        <w:rPr>
          <w:lang w:val="es-CO"/>
        </w:rPr>
      </w:pPr>
      <w:r w:rsidRPr="00D714C1">
        <w:rPr>
          <w:b/>
          <w:lang w:val="es-CO" w:bidi="es-CO"/>
        </w:rPr>
        <w:t>Ahmed Al-</w:t>
      </w:r>
      <w:proofErr w:type="spellStart"/>
      <w:r w:rsidRPr="00D714C1">
        <w:rPr>
          <w:b/>
          <w:lang w:val="es-CO" w:bidi="es-CO"/>
        </w:rPr>
        <w:t>Zubaidi</w:t>
      </w:r>
      <w:proofErr w:type="spellEnd"/>
      <w:r w:rsidRPr="00D714C1">
        <w:rPr>
          <w:lang w:val="es-CO" w:bidi="es-CO"/>
        </w:rPr>
        <w:t>, director, Organización Iraquí de Salud y Asistencia Social (IHSCO)</w:t>
      </w:r>
    </w:p>
    <w:p w14:paraId="28F93FB2" w14:textId="38D21FEE" w:rsidR="004E52E7" w:rsidRPr="00D714C1" w:rsidRDefault="004E52E7" w:rsidP="781C17F4">
      <w:pPr>
        <w:pStyle w:val="NoSpacing"/>
        <w:tabs>
          <w:tab w:val="left" w:pos="1418"/>
        </w:tabs>
        <w:ind w:left="1416"/>
        <w:rPr>
          <w:lang w:val="es-CO"/>
        </w:rPr>
      </w:pPr>
      <w:r w:rsidRPr="00D714C1">
        <w:rPr>
          <w:b/>
          <w:lang w:val="es-CO" w:bidi="es-CO"/>
        </w:rPr>
        <w:t xml:space="preserve">Paul </w:t>
      </w:r>
      <w:proofErr w:type="spellStart"/>
      <w:r w:rsidRPr="00D714C1">
        <w:rPr>
          <w:b/>
          <w:lang w:val="es-CO" w:bidi="es-CO"/>
        </w:rPr>
        <w:t>Heslop</w:t>
      </w:r>
      <w:proofErr w:type="spellEnd"/>
      <w:r w:rsidRPr="00D714C1">
        <w:rPr>
          <w:lang w:val="es-CO" w:bidi="es-CO"/>
        </w:rPr>
        <w:t>, director del programa, Servicio de Acción contra Minas de las Naciones Unidas (UNMAS)</w:t>
      </w:r>
    </w:p>
    <w:p w14:paraId="701FAD86" w14:textId="03E101BD" w:rsidR="004E52E7" w:rsidRPr="00D714C1" w:rsidRDefault="004E52E7" w:rsidP="781C17F4">
      <w:pPr>
        <w:pStyle w:val="NoSpacing"/>
        <w:tabs>
          <w:tab w:val="left" w:pos="1418"/>
        </w:tabs>
        <w:ind w:left="1416"/>
        <w:rPr>
          <w:lang w:val="es-CO"/>
        </w:rPr>
      </w:pPr>
      <w:r w:rsidRPr="00D714C1">
        <w:rPr>
          <w:b/>
          <w:lang w:val="es-CO" w:bidi="es-CO"/>
        </w:rPr>
        <w:t xml:space="preserve">Abraham </w:t>
      </w:r>
      <w:proofErr w:type="spellStart"/>
      <w:r w:rsidRPr="00D714C1">
        <w:rPr>
          <w:b/>
          <w:lang w:val="es-CO" w:bidi="es-CO"/>
        </w:rPr>
        <w:t>Achiek</w:t>
      </w:r>
      <w:proofErr w:type="spellEnd"/>
      <w:r w:rsidRPr="00D714C1">
        <w:rPr>
          <w:lang w:val="es-CO" w:bidi="es-CO"/>
        </w:rPr>
        <w:t>, especialista en Protección de la Infancia (los niños y el conflicto armado), UNICEF Yemen</w:t>
      </w:r>
    </w:p>
    <w:p w14:paraId="7FD935E5" w14:textId="0CA91E20" w:rsidR="004E52E7" w:rsidRPr="00D714C1" w:rsidRDefault="004E52E7" w:rsidP="781C17F4">
      <w:pPr>
        <w:pStyle w:val="NoSpacing"/>
        <w:tabs>
          <w:tab w:val="left" w:pos="1418"/>
        </w:tabs>
        <w:ind w:left="1416"/>
        <w:rPr>
          <w:lang w:val="es-CO"/>
        </w:rPr>
      </w:pPr>
      <w:r w:rsidRPr="00D714C1">
        <w:rPr>
          <w:b/>
          <w:lang w:val="es-CO" w:bidi="es-CO"/>
        </w:rPr>
        <w:t>Sylvie Bouko</w:t>
      </w:r>
      <w:r w:rsidRPr="00D714C1">
        <w:rPr>
          <w:lang w:val="es-CO" w:bidi="es-CO"/>
        </w:rPr>
        <w:t xml:space="preserve">, consultora de </w:t>
      </w:r>
      <w:r w:rsidR="00B316FF">
        <w:rPr>
          <w:lang w:val="es-CO" w:bidi="es-CO"/>
        </w:rPr>
        <w:t>educación en el riesgo de artefactos explosivos</w:t>
      </w:r>
      <w:r w:rsidRPr="00D714C1">
        <w:rPr>
          <w:lang w:val="es-CO" w:bidi="es-CO"/>
        </w:rPr>
        <w:t xml:space="preserve"> (EORE), CIDHG</w:t>
      </w:r>
    </w:p>
    <w:p w14:paraId="70B0AA40" w14:textId="77777777" w:rsidR="004E52E7" w:rsidRPr="00D714C1" w:rsidRDefault="004E52E7" w:rsidP="00C9543C">
      <w:pPr>
        <w:pStyle w:val="NoSpacing"/>
        <w:rPr>
          <w:lang w:val="es-CO"/>
        </w:rPr>
      </w:pPr>
    </w:p>
    <w:sdt>
      <w:sdtPr>
        <w:rPr>
          <w:rFonts w:ascii="Tahoma" w:eastAsia="Times New Roman" w:hAnsi="Tahoma"/>
          <w:b w:val="0"/>
          <w:bCs w:val="0"/>
          <w:color w:val="auto"/>
          <w:sz w:val="22"/>
          <w:lang w:val="es-CO"/>
        </w:rPr>
        <w:id w:val="-660238264"/>
        <w:docPartObj>
          <w:docPartGallery w:val="Table of Contents"/>
          <w:docPartUnique/>
        </w:docPartObj>
      </w:sdtPr>
      <w:sdtEndPr/>
      <w:sdtContent>
        <w:p w14:paraId="26990CF4" w14:textId="1C29F1FA" w:rsidR="004E52E7" w:rsidRPr="00D714C1" w:rsidRDefault="004E52E7">
          <w:pPr>
            <w:pStyle w:val="TOCHeading"/>
            <w:rPr>
              <w:lang w:val="es-CO"/>
            </w:rPr>
          </w:pPr>
          <w:r w:rsidRPr="00D714C1">
            <w:rPr>
              <w:lang w:val="es-CO" w:bidi="es-CO"/>
            </w:rPr>
            <w:t>Índice</w:t>
          </w:r>
        </w:p>
        <w:p w14:paraId="42AD3EB9" w14:textId="44B98B0A" w:rsidR="00B316FF" w:rsidRDefault="004E52E7">
          <w:pPr>
            <w:pStyle w:val="TOC1"/>
            <w:tabs>
              <w:tab w:val="right" w:leader="dot" w:pos="9402"/>
            </w:tabs>
            <w:rPr>
              <w:rFonts w:asciiTheme="minorHAnsi" w:eastAsiaTheme="minorEastAsia" w:hAnsiTheme="minorHAnsi" w:cstheme="minorBidi"/>
              <w:noProof/>
              <w:szCs w:val="22"/>
              <w:lang w:val="en-US"/>
            </w:rPr>
          </w:pPr>
          <w:r w:rsidRPr="00D714C1">
            <w:rPr>
              <w:lang w:val="es-CO" w:bidi="es-CO"/>
            </w:rPr>
            <w:fldChar w:fldCharType="begin"/>
          </w:r>
          <w:r w:rsidRPr="00D714C1">
            <w:rPr>
              <w:lang w:val="es-CO" w:bidi="es-CO"/>
            </w:rPr>
            <w:instrText xml:space="preserve"> TOC \o "1-3" \h \z \u </w:instrText>
          </w:r>
          <w:r w:rsidRPr="00D714C1">
            <w:rPr>
              <w:lang w:val="es-CO" w:bidi="es-CO"/>
            </w:rPr>
            <w:fldChar w:fldCharType="separate"/>
          </w:r>
          <w:hyperlink w:anchor="_Toc44425354" w:history="1">
            <w:r w:rsidR="00B316FF" w:rsidRPr="006C1942">
              <w:rPr>
                <w:rStyle w:val="Hyperlink"/>
                <w:noProof/>
                <w:lang w:val="es-CO" w:bidi="es-CO"/>
              </w:rPr>
              <w:t>Metodologías de educación de riesgos artefactos explosivos/COVID</w:t>
            </w:r>
            <w:r w:rsidR="00B316FF">
              <w:rPr>
                <w:noProof/>
                <w:webHidden/>
              </w:rPr>
              <w:tab/>
            </w:r>
            <w:r w:rsidR="00B316FF">
              <w:rPr>
                <w:noProof/>
                <w:webHidden/>
              </w:rPr>
              <w:fldChar w:fldCharType="begin"/>
            </w:r>
            <w:r w:rsidR="00B316FF">
              <w:rPr>
                <w:noProof/>
                <w:webHidden/>
              </w:rPr>
              <w:instrText xml:space="preserve"> PAGEREF _Toc44425354 \h </w:instrText>
            </w:r>
            <w:r w:rsidR="00B316FF">
              <w:rPr>
                <w:noProof/>
                <w:webHidden/>
              </w:rPr>
            </w:r>
            <w:r w:rsidR="00B316FF">
              <w:rPr>
                <w:noProof/>
                <w:webHidden/>
              </w:rPr>
              <w:fldChar w:fldCharType="separate"/>
            </w:r>
            <w:r w:rsidR="00EC7E24">
              <w:rPr>
                <w:noProof/>
                <w:webHidden/>
              </w:rPr>
              <w:t>3</w:t>
            </w:r>
            <w:r w:rsidR="00B316FF">
              <w:rPr>
                <w:noProof/>
                <w:webHidden/>
              </w:rPr>
              <w:fldChar w:fldCharType="end"/>
            </w:r>
          </w:hyperlink>
        </w:p>
        <w:p w14:paraId="0B4C1681" w14:textId="477F3955" w:rsidR="00B316FF" w:rsidRDefault="00A07D20">
          <w:pPr>
            <w:pStyle w:val="TOC1"/>
            <w:tabs>
              <w:tab w:val="right" w:leader="dot" w:pos="9402"/>
            </w:tabs>
            <w:rPr>
              <w:rFonts w:asciiTheme="minorHAnsi" w:eastAsiaTheme="minorEastAsia" w:hAnsiTheme="minorHAnsi" w:cstheme="minorBidi"/>
              <w:noProof/>
              <w:szCs w:val="22"/>
              <w:lang w:val="en-US"/>
            </w:rPr>
          </w:pPr>
          <w:hyperlink w:anchor="_Toc44425355" w:history="1">
            <w:r w:rsidR="00B316FF" w:rsidRPr="006C1942">
              <w:rPr>
                <w:rStyle w:val="Hyperlink"/>
                <w:noProof/>
                <w:lang w:val="es-CO" w:bidi="es-CO"/>
              </w:rPr>
              <w:t>Recomendaciones de salud al impartir educación de riesgos en persona</w:t>
            </w:r>
            <w:r w:rsidR="00B316FF">
              <w:rPr>
                <w:noProof/>
                <w:webHidden/>
              </w:rPr>
              <w:tab/>
            </w:r>
            <w:r w:rsidR="00B316FF">
              <w:rPr>
                <w:noProof/>
                <w:webHidden/>
              </w:rPr>
              <w:fldChar w:fldCharType="begin"/>
            </w:r>
            <w:r w:rsidR="00B316FF">
              <w:rPr>
                <w:noProof/>
                <w:webHidden/>
              </w:rPr>
              <w:instrText xml:space="preserve"> PAGEREF _Toc44425355 \h </w:instrText>
            </w:r>
            <w:r w:rsidR="00B316FF">
              <w:rPr>
                <w:noProof/>
                <w:webHidden/>
              </w:rPr>
            </w:r>
            <w:r w:rsidR="00B316FF">
              <w:rPr>
                <w:noProof/>
                <w:webHidden/>
              </w:rPr>
              <w:fldChar w:fldCharType="separate"/>
            </w:r>
            <w:r w:rsidR="00EC7E24">
              <w:rPr>
                <w:noProof/>
                <w:webHidden/>
              </w:rPr>
              <w:t>8</w:t>
            </w:r>
            <w:r w:rsidR="00B316FF">
              <w:rPr>
                <w:noProof/>
                <w:webHidden/>
              </w:rPr>
              <w:fldChar w:fldCharType="end"/>
            </w:r>
          </w:hyperlink>
        </w:p>
        <w:p w14:paraId="0107F76F" w14:textId="57153EFD" w:rsidR="00B316FF" w:rsidRDefault="00A07D20">
          <w:pPr>
            <w:pStyle w:val="TOC1"/>
            <w:tabs>
              <w:tab w:val="right" w:leader="dot" w:pos="9402"/>
            </w:tabs>
            <w:rPr>
              <w:rFonts w:asciiTheme="minorHAnsi" w:eastAsiaTheme="minorEastAsia" w:hAnsiTheme="minorHAnsi" w:cstheme="minorBidi"/>
              <w:noProof/>
              <w:szCs w:val="22"/>
              <w:lang w:val="en-US"/>
            </w:rPr>
          </w:pPr>
          <w:hyperlink w:anchor="_Toc44425356" w:history="1">
            <w:r w:rsidR="00B316FF" w:rsidRPr="006C1942">
              <w:rPr>
                <w:rStyle w:val="Hyperlink"/>
                <w:noProof/>
                <w:lang w:val="es-CO" w:bidi="es-CO"/>
              </w:rPr>
              <w:t>Trabajo con el sector de la salud y apoyo a la respuesta a la COVID-19</w:t>
            </w:r>
            <w:r w:rsidR="00B316FF">
              <w:rPr>
                <w:noProof/>
                <w:webHidden/>
              </w:rPr>
              <w:tab/>
            </w:r>
            <w:r w:rsidR="00B316FF">
              <w:rPr>
                <w:noProof/>
                <w:webHidden/>
              </w:rPr>
              <w:fldChar w:fldCharType="begin"/>
            </w:r>
            <w:r w:rsidR="00B316FF">
              <w:rPr>
                <w:noProof/>
                <w:webHidden/>
              </w:rPr>
              <w:instrText xml:space="preserve"> PAGEREF _Toc44425356 \h </w:instrText>
            </w:r>
            <w:r w:rsidR="00B316FF">
              <w:rPr>
                <w:noProof/>
                <w:webHidden/>
              </w:rPr>
            </w:r>
            <w:r w:rsidR="00B316FF">
              <w:rPr>
                <w:noProof/>
                <w:webHidden/>
              </w:rPr>
              <w:fldChar w:fldCharType="separate"/>
            </w:r>
            <w:r w:rsidR="00EC7E24">
              <w:rPr>
                <w:noProof/>
                <w:webHidden/>
              </w:rPr>
              <w:t>10</w:t>
            </w:r>
            <w:r w:rsidR="00B316FF">
              <w:rPr>
                <w:noProof/>
                <w:webHidden/>
              </w:rPr>
              <w:fldChar w:fldCharType="end"/>
            </w:r>
          </w:hyperlink>
        </w:p>
        <w:p w14:paraId="29AC0304" w14:textId="57534D29" w:rsidR="00B316FF" w:rsidRDefault="00A07D20">
          <w:pPr>
            <w:pStyle w:val="TOC1"/>
            <w:tabs>
              <w:tab w:val="right" w:leader="dot" w:pos="9402"/>
            </w:tabs>
            <w:rPr>
              <w:rFonts w:asciiTheme="minorHAnsi" w:eastAsiaTheme="minorEastAsia" w:hAnsiTheme="minorHAnsi" w:cstheme="minorBidi"/>
              <w:noProof/>
              <w:szCs w:val="22"/>
              <w:lang w:val="en-US"/>
            </w:rPr>
          </w:pPr>
          <w:hyperlink w:anchor="_Toc44425357" w:history="1">
            <w:r w:rsidR="00B316FF" w:rsidRPr="006C1942">
              <w:rPr>
                <w:rStyle w:val="Hyperlink"/>
                <w:noProof/>
                <w:lang w:val="es-CO" w:bidi="es-CO"/>
              </w:rPr>
              <w:t>Inquietudes de financiación y personal [podríamos beneficiarnos de los aportes de los donantes]</w:t>
            </w:r>
            <w:r w:rsidR="00B316FF">
              <w:rPr>
                <w:noProof/>
                <w:webHidden/>
              </w:rPr>
              <w:tab/>
            </w:r>
            <w:r w:rsidR="00B316FF">
              <w:rPr>
                <w:noProof/>
                <w:webHidden/>
              </w:rPr>
              <w:fldChar w:fldCharType="begin"/>
            </w:r>
            <w:r w:rsidR="00B316FF">
              <w:rPr>
                <w:noProof/>
                <w:webHidden/>
              </w:rPr>
              <w:instrText xml:space="preserve"> PAGEREF _Toc44425357 \h </w:instrText>
            </w:r>
            <w:r w:rsidR="00B316FF">
              <w:rPr>
                <w:noProof/>
                <w:webHidden/>
              </w:rPr>
            </w:r>
            <w:r w:rsidR="00B316FF">
              <w:rPr>
                <w:noProof/>
                <w:webHidden/>
              </w:rPr>
              <w:fldChar w:fldCharType="separate"/>
            </w:r>
            <w:r w:rsidR="00EC7E24">
              <w:rPr>
                <w:noProof/>
                <w:webHidden/>
              </w:rPr>
              <w:t>15</w:t>
            </w:r>
            <w:r w:rsidR="00B316FF">
              <w:rPr>
                <w:noProof/>
                <w:webHidden/>
              </w:rPr>
              <w:fldChar w:fldCharType="end"/>
            </w:r>
          </w:hyperlink>
        </w:p>
        <w:p w14:paraId="46FC71F1" w14:textId="47CFA447" w:rsidR="00B316FF" w:rsidRDefault="00A07D20">
          <w:pPr>
            <w:pStyle w:val="TOC1"/>
            <w:tabs>
              <w:tab w:val="right" w:leader="dot" w:pos="9402"/>
            </w:tabs>
            <w:rPr>
              <w:rFonts w:asciiTheme="minorHAnsi" w:eastAsiaTheme="minorEastAsia" w:hAnsiTheme="minorHAnsi" w:cstheme="minorBidi"/>
              <w:noProof/>
              <w:szCs w:val="22"/>
              <w:lang w:val="en-US"/>
            </w:rPr>
          </w:pPr>
          <w:hyperlink w:anchor="_Toc44425358" w:history="1">
            <w:r w:rsidR="00B316FF" w:rsidRPr="006C1942">
              <w:rPr>
                <w:rStyle w:val="Hyperlink"/>
                <w:noProof/>
                <w:lang w:val="es-CO" w:bidi="es-CO"/>
              </w:rPr>
              <w:t>Otros</w:t>
            </w:r>
            <w:r w:rsidR="00B316FF">
              <w:rPr>
                <w:noProof/>
                <w:webHidden/>
              </w:rPr>
              <w:tab/>
            </w:r>
            <w:r w:rsidR="00B316FF">
              <w:rPr>
                <w:noProof/>
                <w:webHidden/>
              </w:rPr>
              <w:fldChar w:fldCharType="begin"/>
            </w:r>
            <w:r w:rsidR="00B316FF">
              <w:rPr>
                <w:noProof/>
                <w:webHidden/>
              </w:rPr>
              <w:instrText xml:space="preserve"> PAGEREF _Toc44425358 \h </w:instrText>
            </w:r>
            <w:r w:rsidR="00B316FF">
              <w:rPr>
                <w:noProof/>
                <w:webHidden/>
              </w:rPr>
            </w:r>
            <w:r w:rsidR="00B316FF">
              <w:rPr>
                <w:noProof/>
                <w:webHidden/>
              </w:rPr>
              <w:fldChar w:fldCharType="separate"/>
            </w:r>
            <w:r w:rsidR="00EC7E24">
              <w:rPr>
                <w:noProof/>
                <w:webHidden/>
              </w:rPr>
              <w:t>17</w:t>
            </w:r>
            <w:r w:rsidR="00B316FF">
              <w:rPr>
                <w:noProof/>
                <w:webHidden/>
              </w:rPr>
              <w:fldChar w:fldCharType="end"/>
            </w:r>
          </w:hyperlink>
        </w:p>
        <w:p w14:paraId="5DAC0673" w14:textId="783212B6" w:rsidR="00B316FF" w:rsidRDefault="00A07D20">
          <w:pPr>
            <w:pStyle w:val="TOC1"/>
            <w:tabs>
              <w:tab w:val="right" w:leader="dot" w:pos="9402"/>
            </w:tabs>
            <w:rPr>
              <w:rFonts w:asciiTheme="minorHAnsi" w:eastAsiaTheme="minorEastAsia" w:hAnsiTheme="minorHAnsi" w:cstheme="minorBidi"/>
              <w:noProof/>
              <w:szCs w:val="22"/>
              <w:lang w:val="en-US"/>
            </w:rPr>
          </w:pPr>
          <w:hyperlink w:anchor="_Toc44425359" w:history="1">
            <w:r w:rsidR="00B316FF" w:rsidRPr="006C1942">
              <w:rPr>
                <w:rStyle w:val="Hyperlink"/>
                <w:noProof/>
                <w:lang w:val="es-CO" w:bidi="es-CO"/>
              </w:rPr>
              <w:t>¿Cómo se han visto afectadas las organizaciones y cómo responden a las actuales circunstancias de la COVID-19 (al 1 de abril)?</w:t>
            </w:r>
            <w:r w:rsidR="00B316FF">
              <w:rPr>
                <w:noProof/>
                <w:webHidden/>
              </w:rPr>
              <w:tab/>
            </w:r>
            <w:r w:rsidR="00B316FF">
              <w:rPr>
                <w:noProof/>
                <w:webHidden/>
              </w:rPr>
              <w:fldChar w:fldCharType="begin"/>
            </w:r>
            <w:r w:rsidR="00B316FF">
              <w:rPr>
                <w:noProof/>
                <w:webHidden/>
              </w:rPr>
              <w:instrText xml:space="preserve"> PAGEREF _Toc44425359 \h </w:instrText>
            </w:r>
            <w:r w:rsidR="00B316FF">
              <w:rPr>
                <w:noProof/>
                <w:webHidden/>
              </w:rPr>
            </w:r>
            <w:r w:rsidR="00B316FF">
              <w:rPr>
                <w:noProof/>
                <w:webHidden/>
              </w:rPr>
              <w:fldChar w:fldCharType="separate"/>
            </w:r>
            <w:r w:rsidR="00EC7E24">
              <w:rPr>
                <w:noProof/>
                <w:webHidden/>
              </w:rPr>
              <w:t>18</w:t>
            </w:r>
            <w:r w:rsidR="00B316FF">
              <w:rPr>
                <w:noProof/>
                <w:webHidden/>
              </w:rPr>
              <w:fldChar w:fldCharType="end"/>
            </w:r>
          </w:hyperlink>
        </w:p>
        <w:p w14:paraId="045FF70F" w14:textId="2B804E7C" w:rsidR="00C9543C" w:rsidRPr="00D714C1" w:rsidRDefault="004E52E7" w:rsidP="00C9543C">
          <w:pPr>
            <w:rPr>
              <w:lang w:val="es-CO"/>
            </w:rPr>
          </w:pPr>
          <w:r w:rsidRPr="00D714C1">
            <w:rPr>
              <w:b/>
              <w:lang w:val="es-CO" w:bidi="es-CO"/>
            </w:rPr>
            <w:lastRenderedPageBreak/>
            <w:fldChar w:fldCharType="end"/>
          </w:r>
        </w:p>
      </w:sdtContent>
    </w:sdt>
    <w:p w14:paraId="516B5364" w14:textId="375126D3" w:rsidR="00AF5A1D" w:rsidRPr="00D714C1" w:rsidRDefault="00AF5A1D" w:rsidP="00C9543C">
      <w:pPr>
        <w:rPr>
          <w:color w:val="FF0000"/>
          <w:lang w:val="es-CO"/>
        </w:rPr>
        <w:sectPr w:rsidR="00AF5A1D" w:rsidRPr="00D714C1" w:rsidSect="00E14FB1">
          <w:headerReference w:type="even" r:id="rId11"/>
          <w:headerReference w:type="default" r:id="rId12"/>
          <w:footerReference w:type="even" r:id="rId13"/>
          <w:footerReference w:type="default" r:id="rId14"/>
          <w:headerReference w:type="first" r:id="rId15"/>
          <w:footerReference w:type="first" r:id="rId16"/>
          <w:pgSz w:w="11906" w:h="16838" w:code="9"/>
          <w:pgMar w:top="1134" w:right="1247" w:bottom="1616" w:left="1247" w:header="397" w:footer="851" w:gutter="0"/>
          <w:cols w:space="708"/>
          <w:titlePg/>
          <w:docGrid w:linePitch="360"/>
        </w:sectPr>
      </w:pPr>
      <w:r w:rsidRPr="00D714C1">
        <w:rPr>
          <w:color w:val="FF0000"/>
          <w:lang w:val="es-CO" w:bidi="es-CO"/>
        </w:rPr>
        <w:t xml:space="preserve">Se actualiza periódicamente este documento para garantizar que refleje la guía o prácticas más actualizadas. Cuando utilice la sección de </w:t>
      </w:r>
      <w:proofErr w:type="spellStart"/>
      <w:r w:rsidRPr="00D714C1">
        <w:rPr>
          <w:color w:val="FF0000"/>
          <w:lang w:val="es-CO" w:bidi="es-CO"/>
        </w:rPr>
        <w:t>PyR</w:t>
      </w:r>
      <w:proofErr w:type="spellEnd"/>
      <w:r w:rsidRPr="00D714C1">
        <w:rPr>
          <w:color w:val="FF0000"/>
          <w:lang w:val="es-CO" w:bidi="es-CO"/>
        </w:rPr>
        <w:t xml:space="preserve">, asegúrese de que sea la última versión. Si tiene algún aporte que hacer, compártalo con los vicepresidentes (hlaurenge@unicef.org; Sebastian.Kasack@maginternational.org) y la secretaria (k.hodge@gichd.org) del Grupo Asesor de </w:t>
      </w:r>
      <w:r w:rsidR="00B316FF">
        <w:rPr>
          <w:color w:val="FF0000"/>
          <w:lang w:val="es-CO" w:bidi="es-CO"/>
        </w:rPr>
        <w:t>educación en el riesgo de artefactos explosivos</w:t>
      </w:r>
      <w:r w:rsidRPr="00D714C1">
        <w:rPr>
          <w:color w:val="FF0000"/>
          <w:lang w:val="es-CO" w:bidi="es-CO"/>
        </w:rPr>
        <w:t xml:space="preserve"> (EORE).</w:t>
      </w:r>
    </w:p>
    <w:p w14:paraId="34A09A5F" w14:textId="2A8A2E0E" w:rsidR="00C9543C" w:rsidRPr="00D714C1" w:rsidRDefault="00C9543C" w:rsidP="00C9543C">
      <w:pPr>
        <w:pStyle w:val="Heading1"/>
        <w:rPr>
          <w:lang w:val="es-CO"/>
        </w:rPr>
      </w:pPr>
      <w:bookmarkStart w:id="0" w:name="_Toc44425354"/>
      <w:r w:rsidRPr="00D714C1">
        <w:rPr>
          <w:lang w:val="es-CO" w:bidi="es-CO"/>
        </w:rPr>
        <w:lastRenderedPageBreak/>
        <w:t>Metodologías de educación de riesgos artefactos explosivos/COVID</w:t>
      </w:r>
      <w:bookmarkEnd w:id="0"/>
      <w:r w:rsidRPr="00D714C1">
        <w:rPr>
          <w:lang w:val="es-CO" w:bidi="es-CO"/>
        </w:rPr>
        <w:tab/>
      </w:r>
    </w:p>
    <w:tbl>
      <w:tblPr>
        <w:tblStyle w:val="TableGrid"/>
        <w:tblW w:w="21595" w:type="dxa"/>
        <w:tblInd w:w="0" w:type="dxa"/>
        <w:tblCellMar>
          <w:top w:w="57" w:type="dxa"/>
          <w:bottom w:w="57" w:type="dxa"/>
        </w:tblCellMar>
        <w:tblLook w:val="04A0" w:firstRow="1" w:lastRow="0" w:firstColumn="1" w:lastColumn="0" w:noHBand="0" w:noVBand="1"/>
      </w:tblPr>
      <w:tblGrid>
        <w:gridCol w:w="2484"/>
        <w:gridCol w:w="4261"/>
        <w:gridCol w:w="11340"/>
        <w:gridCol w:w="3510"/>
      </w:tblGrid>
      <w:tr w:rsidR="006D70C8" w:rsidRPr="00D714C1" w14:paraId="5C3E9F5F" w14:textId="08216656" w:rsidTr="009A274A">
        <w:trPr>
          <w:cantSplit/>
          <w:tblHeader/>
        </w:trPr>
        <w:tc>
          <w:tcPr>
            <w:tcW w:w="2484" w:type="dxa"/>
            <w:shd w:val="clear" w:color="auto" w:fill="6D96B3" w:themeFill="accent3"/>
          </w:tcPr>
          <w:p w14:paraId="671AD8BB" w14:textId="4A326504" w:rsidR="006D70C8" w:rsidRPr="00D714C1" w:rsidRDefault="006D70C8" w:rsidP="00C9543C">
            <w:pPr>
              <w:pStyle w:val="NoSpacing"/>
              <w:rPr>
                <w:b/>
                <w:bCs/>
                <w:color w:val="FFFFFF" w:themeColor="background1"/>
                <w:lang w:val="es-CO"/>
              </w:rPr>
            </w:pPr>
            <w:r w:rsidRPr="00D714C1">
              <w:rPr>
                <w:b/>
                <w:color w:val="FFFFFF" w:themeColor="background1"/>
                <w:lang w:val="es-CO" w:bidi="es-CO"/>
              </w:rPr>
              <w:t>Pregunta general</w:t>
            </w:r>
          </w:p>
        </w:tc>
        <w:tc>
          <w:tcPr>
            <w:tcW w:w="4261" w:type="dxa"/>
            <w:shd w:val="clear" w:color="auto" w:fill="6D96B3" w:themeFill="accent3"/>
          </w:tcPr>
          <w:p w14:paraId="0BF96E41" w14:textId="32A632F4" w:rsidR="006D70C8" w:rsidRPr="00D714C1" w:rsidRDefault="006D70C8" w:rsidP="00C9543C">
            <w:pPr>
              <w:pStyle w:val="NoSpacing"/>
              <w:rPr>
                <w:b/>
                <w:bCs/>
                <w:color w:val="FFFFFF" w:themeColor="background1"/>
                <w:lang w:val="es-CO"/>
              </w:rPr>
            </w:pPr>
            <w:r w:rsidRPr="00D714C1">
              <w:rPr>
                <w:b/>
                <w:color w:val="FFFFFF" w:themeColor="background1"/>
                <w:lang w:val="es-CO" w:bidi="es-CO"/>
              </w:rPr>
              <w:t>Preguntas recibidas</w:t>
            </w:r>
          </w:p>
        </w:tc>
        <w:tc>
          <w:tcPr>
            <w:tcW w:w="11340" w:type="dxa"/>
            <w:shd w:val="clear" w:color="auto" w:fill="6D96B3" w:themeFill="accent3"/>
          </w:tcPr>
          <w:p w14:paraId="67A5BC88" w14:textId="608B0B8D" w:rsidR="006D70C8" w:rsidRPr="00D714C1" w:rsidRDefault="006D70C8" w:rsidP="00C9543C">
            <w:pPr>
              <w:pStyle w:val="NoSpacing"/>
              <w:rPr>
                <w:b/>
                <w:bCs/>
                <w:color w:val="FFFFFF" w:themeColor="background1"/>
                <w:lang w:val="es-CO"/>
              </w:rPr>
            </w:pPr>
            <w:r w:rsidRPr="00D714C1">
              <w:rPr>
                <w:b/>
                <w:color w:val="FFFFFF" w:themeColor="background1"/>
                <w:lang w:val="es-CO" w:bidi="es-CO"/>
              </w:rPr>
              <w:t>Respuesta</w:t>
            </w:r>
          </w:p>
        </w:tc>
        <w:tc>
          <w:tcPr>
            <w:tcW w:w="3510" w:type="dxa"/>
            <w:shd w:val="clear" w:color="auto" w:fill="6D96B3" w:themeFill="accent3"/>
          </w:tcPr>
          <w:p w14:paraId="045FA120" w14:textId="4E10D1C3" w:rsidR="006D70C8" w:rsidRPr="00D714C1" w:rsidRDefault="006D70C8" w:rsidP="00C9543C">
            <w:pPr>
              <w:pStyle w:val="NoSpacing"/>
              <w:rPr>
                <w:b/>
                <w:bCs/>
                <w:color w:val="FFFFFF" w:themeColor="background1"/>
                <w:lang w:val="es-CO"/>
              </w:rPr>
            </w:pPr>
            <w:r w:rsidRPr="00D714C1">
              <w:rPr>
                <w:b/>
                <w:color w:val="FFFFFF" w:themeColor="background1"/>
                <w:lang w:val="es-CO" w:bidi="es-CO"/>
              </w:rPr>
              <w:t>Guía</w:t>
            </w:r>
          </w:p>
        </w:tc>
      </w:tr>
      <w:tr w:rsidR="006D70C8" w:rsidRPr="00A07D20" w14:paraId="6DFDA4C7" w14:textId="6A142975" w:rsidTr="009A274A">
        <w:trPr>
          <w:cantSplit/>
        </w:trPr>
        <w:tc>
          <w:tcPr>
            <w:tcW w:w="2484" w:type="dxa"/>
            <w:shd w:val="clear" w:color="auto" w:fill="E1E9EF" w:themeFill="accent3" w:themeFillTint="33"/>
          </w:tcPr>
          <w:p w14:paraId="7B3F9964" w14:textId="35E6C16E" w:rsidR="006D70C8" w:rsidRPr="00B316FF" w:rsidRDefault="006D70C8" w:rsidP="00C9543C">
            <w:pPr>
              <w:pStyle w:val="NoSpacing"/>
              <w:rPr>
                <w:b/>
                <w:bCs/>
                <w:sz w:val="20"/>
                <w:szCs w:val="20"/>
                <w:lang w:val="es-CO"/>
              </w:rPr>
            </w:pPr>
            <w:r w:rsidRPr="00B316FF">
              <w:rPr>
                <w:b/>
                <w:sz w:val="20"/>
                <w:szCs w:val="20"/>
                <w:lang w:val="es-CO" w:bidi="es-CO"/>
              </w:rPr>
              <w:t>En general, ¿cómo podemos dar mensajes sobre la educación de riesgos sin causar daños en los distintos contextos de la COVID-19, desde los lugares en los que hasta ahora la COVID-19 ha tenido poco impacto hasta aquellos que están totalmente confinados?</w:t>
            </w:r>
          </w:p>
        </w:tc>
        <w:tc>
          <w:tcPr>
            <w:tcW w:w="4261" w:type="dxa"/>
          </w:tcPr>
          <w:p w14:paraId="33C783BE" w14:textId="73BA6A60" w:rsidR="006D70C8" w:rsidRPr="00B316FF" w:rsidRDefault="006D70C8" w:rsidP="00AA37BA">
            <w:pPr>
              <w:pStyle w:val="BulletinTable"/>
              <w:rPr>
                <w:sz w:val="20"/>
                <w:szCs w:val="20"/>
                <w:lang w:val="es-CO"/>
              </w:rPr>
            </w:pPr>
            <w:r w:rsidRPr="00B316FF">
              <w:rPr>
                <w:sz w:val="20"/>
                <w:szCs w:val="20"/>
                <w:lang w:val="es-CO" w:bidi="es-CO"/>
              </w:rPr>
              <w:t xml:space="preserve">En los distintos contextos base de la COVID-19, ¿cómo podemos impartir </w:t>
            </w:r>
            <w:r w:rsidR="00B316FF">
              <w:rPr>
                <w:sz w:val="20"/>
                <w:szCs w:val="20"/>
                <w:lang w:val="es-CO" w:bidi="es-CO"/>
              </w:rPr>
              <w:t>educación en el riesgo de artefactos explosivos</w:t>
            </w:r>
            <w:r w:rsidRPr="00B316FF">
              <w:rPr>
                <w:sz w:val="20"/>
                <w:szCs w:val="20"/>
                <w:lang w:val="es-CO" w:bidi="es-CO"/>
              </w:rPr>
              <w:t xml:space="preserve"> y COVID-19 (p. ej., en áreas de riesgo de alto nivel, nivel medio y bajo nivel)? ¿Existe un nuevo método específico para darle mensajes al público sobre </w:t>
            </w:r>
            <w:r w:rsidR="00B316FF">
              <w:rPr>
                <w:sz w:val="20"/>
                <w:szCs w:val="20"/>
                <w:lang w:val="es-CO" w:bidi="es-CO"/>
              </w:rPr>
              <w:t>educación en el riesgo de artefactos explosivos</w:t>
            </w:r>
            <w:r w:rsidRPr="00B316FF">
              <w:rPr>
                <w:sz w:val="20"/>
                <w:szCs w:val="20"/>
                <w:lang w:val="es-CO" w:bidi="es-CO"/>
              </w:rPr>
              <w:t xml:space="preserve">/COVID-19 que sea seguro tanto para los instructores como para los receptores? </w:t>
            </w:r>
          </w:p>
          <w:p w14:paraId="0815E299" w14:textId="5794D2F1" w:rsidR="006D70C8" w:rsidRPr="00B316FF" w:rsidRDefault="006D70C8" w:rsidP="00AA37BA">
            <w:pPr>
              <w:pStyle w:val="BulletinTable"/>
              <w:rPr>
                <w:sz w:val="20"/>
                <w:szCs w:val="20"/>
                <w:lang w:val="es-CO"/>
              </w:rPr>
            </w:pPr>
            <w:r w:rsidRPr="00B316FF">
              <w:rPr>
                <w:sz w:val="20"/>
                <w:szCs w:val="20"/>
                <w:lang w:val="es-CO" w:bidi="es-CO"/>
              </w:rPr>
              <w:t xml:space="preserve">En países con impactos relativamente bajos de la COVID-19 como Somalia, se requieren operaciones salvavidas de educación de riesgos, pero sigue presente la pregunta del </w:t>
            </w:r>
            <w:r w:rsidRPr="00B316FF">
              <w:rPr>
                <w:i/>
                <w:sz w:val="20"/>
                <w:szCs w:val="20"/>
                <w:lang w:val="es-CO" w:bidi="es-CO"/>
              </w:rPr>
              <w:t>cómo</w:t>
            </w:r>
            <w:r w:rsidRPr="00B316FF">
              <w:rPr>
                <w:sz w:val="20"/>
                <w:szCs w:val="20"/>
                <w:lang w:val="es-CO" w:bidi="es-CO"/>
              </w:rPr>
              <w:t>...</w:t>
            </w:r>
          </w:p>
          <w:p w14:paraId="51EC7CB3" w14:textId="14488D9C" w:rsidR="006D70C8" w:rsidRPr="00B316FF" w:rsidRDefault="006D70C8" w:rsidP="47F14592">
            <w:pPr>
              <w:pStyle w:val="BulletinTable"/>
              <w:numPr>
                <w:ilvl w:val="0"/>
                <w:numId w:val="0"/>
              </w:numPr>
              <w:ind w:left="720" w:hanging="360"/>
              <w:rPr>
                <w:sz w:val="20"/>
                <w:szCs w:val="20"/>
                <w:lang w:val="es-CO"/>
              </w:rPr>
            </w:pPr>
          </w:p>
        </w:tc>
        <w:tc>
          <w:tcPr>
            <w:tcW w:w="11340" w:type="dxa"/>
            <w:shd w:val="clear" w:color="auto" w:fill="E1E9EF" w:themeFill="accent3" w:themeFillTint="33"/>
          </w:tcPr>
          <w:p w14:paraId="0EA766CD" w14:textId="504AC84D" w:rsidR="006D70C8" w:rsidRPr="00B316FF" w:rsidRDefault="006D70C8" w:rsidP="4F43A638">
            <w:pPr>
              <w:pStyle w:val="BulletinTable"/>
              <w:numPr>
                <w:ilvl w:val="0"/>
                <w:numId w:val="0"/>
              </w:numPr>
              <w:spacing w:before="0" w:after="0" w:line="259" w:lineRule="auto"/>
              <w:rPr>
                <w:sz w:val="20"/>
                <w:szCs w:val="20"/>
                <w:lang w:val="es-CO"/>
              </w:rPr>
            </w:pPr>
            <w:r w:rsidRPr="00B316FF">
              <w:rPr>
                <w:sz w:val="20"/>
                <w:szCs w:val="20"/>
                <w:lang w:val="es-CO" w:bidi="es-CO"/>
              </w:rPr>
              <w:t xml:space="preserve">De gran interés debería ser garantizar el </w:t>
            </w:r>
            <w:r w:rsidRPr="00B316FF">
              <w:rPr>
                <w:b/>
                <w:sz w:val="20"/>
                <w:szCs w:val="20"/>
                <w:lang w:val="es-CO" w:bidi="es-CO"/>
              </w:rPr>
              <w:t>deber de asistencia</w:t>
            </w:r>
            <w:r w:rsidRPr="00B316FF">
              <w:rPr>
                <w:sz w:val="20"/>
                <w:szCs w:val="20"/>
                <w:lang w:val="es-CO" w:bidi="es-CO"/>
              </w:rPr>
              <w:t xml:space="preserve"> (principalmente respecto del personal) y </w:t>
            </w:r>
            <w:r w:rsidRPr="00B316FF">
              <w:rPr>
                <w:b/>
                <w:sz w:val="20"/>
                <w:szCs w:val="20"/>
                <w:lang w:val="es-CO" w:bidi="es-CO"/>
              </w:rPr>
              <w:t>no hacer daño</w:t>
            </w:r>
            <w:r w:rsidRPr="00B316FF">
              <w:rPr>
                <w:sz w:val="20"/>
                <w:szCs w:val="20"/>
                <w:lang w:val="es-CO" w:bidi="es-CO"/>
              </w:rPr>
              <w:t xml:space="preserve"> (principalmente respecto de las comunidades).</w:t>
            </w:r>
          </w:p>
          <w:p w14:paraId="5FF3236A" w14:textId="77777777" w:rsidR="006D70C8" w:rsidRPr="00B316FF" w:rsidRDefault="006D70C8" w:rsidP="4F43A638">
            <w:pPr>
              <w:pStyle w:val="BulletinTable"/>
              <w:numPr>
                <w:ilvl w:val="0"/>
                <w:numId w:val="0"/>
              </w:numPr>
              <w:spacing w:before="0" w:after="0" w:line="259" w:lineRule="auto"/>
              <w:rPr>
                <w:rFonts w:eastAsia="Microsoft YaHei UI"/>
                <w:sz w:val="20"/>
                <w:szCs w:val="20"/>
                <w:lang w:val="es-CO" w:eastAsia="en-GB"/>
              </w:rPr>
            </w:pPr>
          </w:p>
          <w:p w14:paraId="40008043" w14:textId="0A582AD6" w:rsidR="006D70C8" w:rsidRPr="00B316FF" w:rsidRDefault="006D70C8" w:rsidP="4F43A638">
            <w:pPr>
              <w:spacing w:before="0" w:after="0" w:line="259" w:lineRule="auto"/>
              <w:jc w:val="left"/>
              <w:rPr>
                <w:sz w:val="20"/>
                <w:szCs w:val="20"/>
                <w:lang w:val="es-CO"/>
              </w:rPr>
            </w:pPr>
            <w:r w:rsidRPr="00B316FF">
              <w:rPr>
                <w:sz w:val="20"/>
                <w:szCs w:val="20"/>
                <w:lang w:val="es-CO" w:bidi="es-CO"/>
              </w:rPr>
              <w:t>Aquí deber de asistencia significa “actuar respecto de otros [empleados, dependientes acompañantes, socios, socios contractuales externos] con prudencia y vigilancia para evitar todo riesgo de daño previsible” (</w:t>
            </w:r>
            <w:r w:rsidR="00A07D20">
              <w:fldChar w:fldCharType="begin"/>
            </w:r>
            <w:r w:rsidR="00A07D20" w:rsidRPr="00A07D20">
              <w:rPr>
                <w:lang w:val="es-ES"/>
              </w:rPr>
              <w:instrText xml:space="preserve"> HYPERLINK "https://www.unsystem.org/CEBPublicFiles/ICRC%20-%20Duty%20of%20Care%20ICRC%20definition.pdf" \h </w:instrText>
            </w:r>
            <w:r w:rsidR="00A07D20">
              <w:fldChar w:fldCharType="separate"/>
            </w:r>
            <w:r w:rsidRPr="00B316FF">
              <w:rPr>
                <w:rStyle w:val="Hyperlink"/>
                <w:sz w:val="20"/>
                <w:szCs w:val="20"/>
                <w:lang w:val="es-CO" w:bidi="es-CO"/>
              </w:rPr>
              <w:t>ICRC</w:t>
            </w:r>
            <w:r w:rsidR="00A07D20">
              <w:rPr>
                <w:rStyle w:val="Hyperlink"/>
                <w:sz w:val="20"/>
                <w:szCs w:val="20"/>
                <w:lang w:val="es-CO" w:bidi="es-CO"/>
              </w:rPr>
              <w:fldChar w:fldCharType="end"/>
            </w:r>
            <w:r w:rsidRPr="00B316FF">
              <w:rPr>
                <w:sz w:val="20"/>
                <w:szCs w:val="20"/>
                <w:lang w:val="es-CO" w:bidi="es-CO"/>
              </w:rPr>
              <w:t xml:space="preserve">). Solo se debe seguir con las operaciones cuando sea seguro y aceptable continuar (hay que recordar que hay muchos puntos desconocidos) y no se debe obligar al personal a trabajar en comunidades en las que sientan miedo de trabajar. Antes de toda intervención hay que evaluar el riesgo de resistencia o rechazo a la intervención externa por parte de la comunidad. Por ejemplo, hemos visto sentimientos contra los actores humanitarios/de desarrollo y/o discriminación contra ciertos extranjeros por la percepción de que llevarán el virus. </w:t>
            </w:r>
          </w:p>
          <w:p w14:paraId="7D4CBF25" w14:textId="0DEFD545" w:rsidR="006D70C8" w:rsidRPr="00B316FF" w:rsidRDefault="11AB6C8B">
            <w:pPr>
              <w:jc w:val="left"/>
              <w:rPr>
                <w:rFonts w:eastAsia="Microsoft YaHei UI"/>
                <w:sz w:val="20"/>
                <w:szCs w:val="20"/>
                <w:lang w:val="es-CO" w:eastAsia="en-GB"/>
              </w:rPr>
            </w:pPr>
            <w:r w:rsidRPr="00B316FF">
              <w:rPr>
                <w:sz w:val="20"/>
                <w:szCs w:val="20"/>
                <w:lang w:val="es-CO" w:bidi="es-CO"/>
              </w:rPr>
              <w:t>No hacer daño significa que “siempre debemos evaluar si es necesario establecer contacto con una persona que podría quedar en riesgo a consecuencia de ese contacto. No se debe tratar de hacer contacto si las organizaciones determinan que no podrán garantizar la seguridad de la persona que colaborará, si el riesgo de daño es demasiado alto o si las organizaciones no tienen información suficiente para hacer una determinación bien fundada del nivel de riesgo. Como mínimo, la acción o inacción de las organizaciones no debe poner en riesgo la seguridad de las víctimas, testigos u otras personas con quienes entren en contacto” (</w:t>
            </w:r>
            <w:r w:rsidR="00A07D20">
              <w:fldChar w:fldCharType="begin"/>
            </w:r>
            <w:r w:rsidR="00A07D20" w:rsidRPr="00A07D20">
              <w:rPr>
                <w:lang w:val="es-ES"/>
              </w:rPr>
              <w:instrText xml:space="preserve"> HYPERLINK "https://www.ohchr.org/Documents/Publications/Chapter02-MHRM.pdf" \h </w:instrText>
            </w:r>
            <w:r w:rsidR="00A07D20">
              <w:fldChar w:fldCharType="separate"/>
            </w:r>
            <w:r w:rsidRPr="00B316FF">
              <w:rPr>
                <w:rStyle w:val="Hyperlink"/>
                <w:sz w:val="20"/>
                <w:szCs w:val="20"/>
                <w:lang w:val="es-CO" w:bidi="es-CO"/>
              </w:rPr>
              <w:t>OHCHR</w:t>
            </w:r>
            <w:r w:rsidR="00A07D20">
              <w:rPr>
                <w:rStyle w:val="Hyperlink"/>
                <w:sz w:val="20"/>
                <w:szCs w:val="20"/>
                <w:lang w:val="es-CO" w:bidi="es-CO"/>
              </w:rPr>
              <w:fldChar w:fldCharType="end"/>
            </w:r>
            <w:r w:rsidRPr="00B316FF">
              <w:rPr>
                <w:sz w:val="20"/>
                <w:szCs w:val="20"/>
                <w:lang w:val="es-CO" w:bidi="es-CO"/>
              </w:rPr>
              <w:t>). De modo práctico, significa velar que nosotros mismos no seamos portadores del virus. Podemos hacerlo apoyando las operaciones de trabajo remoto cuando sea posible (p. ej., computadores portátiles, internet, recargas telefónicas) y, cuando no lo sea, velando que se implementen otras medidas de mitigación. Las organizaciones deben tener procedimientos operativos estandarizados (POE) de transporte, participación comunitaria, etc. Como mínimo se debe incluir lo siguiente:</w:t>
            </w:r>
          </w:p>
          <w:p w14:paraId="1C4A8631" w14:textId="0F08BA4C" w:rsidR="006D70C8" w:rsidRPr="00B316FF" w:rsidRDefault="11AB6C8B" w:rsidP="098937A5">
            <w:pPr>
              <w:pStyle w:val="BulletLevel1"/>
              <w:rPr>
                <w:sz w:val="20"/>
                <w:szCs w:val="20"/>
                <w:lang w:val="es-CO"/>
              </w:rPr>
            </w:pPr>
            <w:r w:rsidRPr="00B316FF">
              <w:rPr>
                <w:sz w:val="20"/>
                <w:szCs w:val="20"/>
                <w:lang w:val="es-CO" w:bidi="es-CO"/>
              </w:rPr>
              <w:t xml:space="preserve">Dictar capacitación profesional de la COVID-19 en persona (de ser seguro) o a distancia al personal antes de todas las actividades a fin de garantizar su seguridad y no propagar el virus (es importante que el personal sea un ejemplo de la aplicación de los comportamientos recomendados en las comunidades) e identificar y considerar a aquellos que corren el mayor riesgo. </w:t>
            </w:r>
          </w:p>
          <w:p w14:paraId="7692C681" w14:textId="17628CE1" w:rsidR="006D70C8" w:rsidRPr="00B316FF" w:rsidRDefault="11AB6C8B" w:rsidP="098937A5">
            <w:pPr>
              <w:pStyle w:val="BulletLevel1"/>
              <w:rPr>
                <w:sz w:val="20"/>
                <w:szCs w:val="20"/>
                <w:lang w:val="es-CO"/>
              </w:rPr>
            </w:pPr>
            <w:r w:rsidRPr="00B316FF">
              <w:rPr>
                <w:sz w:val="20"/>
                <w:szCs w:val="20"/>
                <w:lang w:val="es-CO" w:bidi="es-CO"/>
              </w:rPr>
              <w:t xml:space="preserve">Expandir los métodos de </w:t>
            </w:r>
            <w:r w:rsidR="00B316FF">
              <w:rPr>
                <w:sz w:val="20"/>
                <w:szCs w:val="20"/>
                <w:lang w:val="es-CO" w:bidi="es-CO"/>
              </w:rPr>
              <w:t>educación en el riesgo de artefactos explosivos</w:t>
            </w:r>
            <w:r w:rsidRPr="00B316FF">
              <w:rPr>
                <w:sz w:val="20"/>
                <w:szCs w:val="20"/>
                <w:lang w:val="es-CO" w:bidi="es-CO"/>
              </w:rPr>
              <w:t>/COVID a distancia, en lugar de en persona (p. ej., usando radios, aplicaciones móviles, redes sociales, megáfonos móviles, etc.)</w:t>
            </w:r>
          </w:p>
          <w:p w14:paraId="0D58BB21" w14:textId="3FBAA683" w:rsidR="006D70C8" w:rsidRPr="00B316FF" w:rsidRDefault="11AB6C8B" w:rsidP="098937A5">
            <w:pPr>
              <w:spacing w:before="240"/>
              <w:jc w:val="left"/>
              <w:rPr>
                <w:sz w:val="20"/>
                <w:szCs w:val="20"/>
                <w:lang w:val="es-CO"/>
              </w:rPr>
            </w:pPr>
            <w:r w:rsidRPr="00B316FF">
              <w:rPr>
                <w:sz w:val="20"/>
                <w:szCs w:val="20"/>
                <w:lang w:val="es-CO" w:bidi="es-CO"/>
              </w:rPr>
              <w:t>Dependiendo del contexto y de las regulaciones y recomendaciones locales, es probable que otras medidas de mitigación incluyan:</w:t>
            </w:r>
          </w:p>
          <w:p w14:paraId="0F35BDCD" w14:textId="1DDF7512" w:rsidR="006D70C8" w:rsidRPr="00B316FF" w:rsidRDefault="11AB6C8B" w:rsidP="4F43A638">
            <w:pPr>
              <w:pStyle w:val="BulletinTable"/>
              <w:rPr>
                <w:sz w:val="20"/>
                <w:szCs w:val="20"/>
                <w:lang w:val="es-CO"/>
              </w:rPr>
            </w:pPr>
            <w:r w:rsidRPr="00B316FF">
              <w:rPr>
                <w:sz w:val="20"/>
                <w:szCs w:val="20"/>
                <w:lang w:val="es-CO" w:bidi="es-CO"/>
              </w:rPr>
              <w:t>Reducir las reuniones grupales y quizás hacer más actividades de casa en casa, si se puede mantener una distancia viable y segura</w:t>
            </w:r>
          </w:p>
          <w:p w14:paraId="292DF44F" w14:textId="228CEA56" w:rsidR="006D70C8" w:rsidRPr="00B316FF" w:rsidRDefault="006D70C8" w:rsidP="47F14592">
            <w:pPr>
              <w:pStyle w:val="BulletinTable"/>
              <w:rPr>
                <w:rFonts w:asciiTheme="minorHAnsi" w:eastAsiaTheme="minorEastAsia" w:hAnsiTheme="minorHAnsi" w:cstheme="minorBidi"/>
                <w:sz w:val="20"/>
                <w:szCs w:val="20"/>
                <w:lang w:val="es-CO" w:eastAsia="en-GB"/>
              </w:rPr>
            </w:pPr>
            <w:r w:rsidRPr="00B316FF">
              <w:rPr>
                <w:rFonts w:eastAsia="Microsoft YaHei UI"/>
                <w:sz w:val="20"/>
                <w:szCs w:val="20"/>
                <w:lang w:val="es-CO" w:bidi="es-CO"/>
              </w:rPr>
              <w:t>Mantener grupos pequeños y físicamente alejados</w:t>
            </w:r>
          </w:p>
          <w:p w14:paraId="2CA2F2C6" w14:textId="77777777" w:rsidR="009C1A3E" w:rsidRPr="00B316FF" w:rsidRDefault="006D70C8" w:rsidP="47F14592">
            <w:pPr>
              <w:pStyle w:val="BulletinTable"/>
              <w:rPr>
                <w:sz w:val="20"/>
                <w:szCs w:val="20"/>
                <w:lang w:val="es-CO" w:eastAsia="en-GB"/>
              </w:rPr>
            </w:pPr>
            <w:r w:rsidRPr="00B316FF">
              <w:rPr>
                <w:rFonts w:eastAsia="Microsoft YaHei UI"/>
                <w:sz w:val="20"/>
                <w:szCs w:val="20"/>
                <w:lang w:val="es-CO" w:bidi="es-CO"/>
              </w:rPr>
              <w:t>Garantizar el lavado de manos</w:t>
            </w:r>
          </w:p>
          <w:p w14:paraId="0F2B5C63" w14:textId="4D170C95" w:rsidR="006D70C8" w:rsidRPr="00B316FF" w:rsidRDefault="005B1E1A" w:rsidP="0038048D">
            <w:pPr>
              <w:pStyle w:val="BulletinTable"/>
              <w:numPr>
                <w:ilvl w:val="0"/>
                <w:numId w:val="0"/>
              </w:numPr>
              <w:ind w:left="720"/>
              <w:rPr>
                <w:sz w:val="20"/>
                <w:szCs w:val="20"/>
                <w:lang w:val="es-CO" w:eastAsia="en-GB"/>
              </w:rPr>
            </w:pPr>
            <w:r w:rsidRPr="00B316FF">
              <w:rPr>
                <w:rFonts w:eastAsia="Microsoft YaHei UI"/>
                <w:sz w:val="20"/>
                <w:szCs w:val="20"/>
                <w:lang w:val="es-CO" w:bidi="es-CO"/>
              </w:rPr>
              <w:t>Nota sobre los equipos de protección personal (EPP): La guía/política global y nacional resuelve los asuntos relativos a los EPP.</w:t>
            </w:r>
          </w:p>
          <w:p w14:paraId="4C081AEC" w14:textId="71AC6DD9" w:rsidR="006D70C8" w:rsidRPr="00B316FF" w:rsidRDefault="11AB6C8B" w:rsidP="098937A5">
            <w:pPr>
              <w:spacing w:before="240" w:line="259" w:lineRule="auto"/>
              <w:jc w:val="left"/>
              <w:rPr>
                <w:rFonts w:eastAsia="Microsoft YaHei UI"/>
                <w:sz w:val="20"/>
                <w:szCs w:val="20"/>
                <w:lang w:val="es-CO" w:eastAsia="en-GB"/>
              </w:rPr>
            </w:pPr>
            <w:r w:rsidRPr="00B316FF">
              <w:rPr>
                <w:rFonts w:eastAsia="Microsoft YaHei UI"/>
                <w:sz w:val="20"/>
                <w:szCs w:val="20"/>
                <w:lang w:val="es-CO" w:bidi="es-CO"/>
              </w:rPr>
              <w:t xml:space="preserve">En todos los casos habrá que adaptar la </w:t>
            </w:r>
            <w:r w:rsidR="00B316FF">
              <w:rPr>
                <w:rFonts w:eastAsia="Microsoft YaHei UI"/>
                <w:sz w:val="20"/>
                <w:szCs w:val="20"/>
                <w:lang w:val="es-CO" w:bidi="es-CO"/>
              </w:rPr>
              <w:t>educación en el riesgo de artefactos explosivos</w:t>
            </w:r>
            <w:r w:rsidRPr="00B316FF">
              <w:rPr>
                <w:rFonts w:eastAsia="Microsoft YaHei UI"/>
                <w:sz w:val="20"/>
                <w:szCs w:val="20"/>
                <w:lang w:val="es-CO" w:bidi="es-CO"/>
              </w:rPr>
              <w:t xml:space="preserve"> y COVID-19 (a veces se denomina Comunicación de Riesgos y Participación Comunitaria o CRPC) al nivel de riesgo de contagio de COVID-19. En consecuencia, la mayoría de los gobiernos deberán implementar normas que establezcan las opciones para trabajar y permitir un espacio reducido o, después de un tiempo, expandir el espacio para operar. Nuestra respuesta tiene que ser pragmática, usando cada vez más medios móviles/redes sociales y medios de comunicación y optando por una comunicación en persona cuando sea viable y seguro para llegar a los más difíciles de llegar y a los más vulnerables.</w:t>
            </w:r>
          </w:p>
        </w:tc>
        <w:tc>
          <w:tcPr>
            <w:tcW w:w="3510" w:type="dxa"/>
            <w:shd w:val="clear" w:color="auto" w:fill="FFFFFF" w:themeFill="background1"/>
          </w:tcPr>
          <w:p w14:paraId="5D2C746D" w14:textId="77777777" w:rsidR="006D70C8" w:rsidRPr="00D714C1" w:rsidRDefault="006D70C8" w:rsidP="00C9543C">
            <w:pPr>
              <w:spacing w:before="0" w:after="0"/>
              <w:jc w:val="left"/>
              <w:rPr>
                <w:lang w:val="es-CO"/>
              </w:rPr>
            </w:pPr>
          </w:p>
          <w:p w14:paraId="2F669ED4" w14:textId="348548DB" w:rsidR="00CB645F" w:rsidRPr="00D714C1" w:rsidRDefault="00CB645F" w:rsidP="47F14592">
            <w:pPr>
              <w:rPr>
                <w:lang w:val="es-CO"/>
              </w:rPr>
            </w:pPr>
          </w:p>
          <w:p w14:paraId="7848BF04" w14:textId="19D4E4E8" w:rsidR="0079351F" w:rsidRPr="00D714C1" w:rsidRDefault="0079351F" w:rsidP="47F14592">
            <w:pPr>
              <w:rPr>
                <w:lang w:val="es-CO"/>
              </w:rPr>
            </w:pPr>
          </w:p>
          <w:p w14:paraId="175E53DA" w14:textId="18C3952F" w:rsidR="0079351F" w:rsidRPr="00D714C1" w:rsidRDefault="0079351F" w:rsidP="47F14592">
            <w:pPr>
              <w:rPr>
                <w:lang w:val="es-CO"/>
              </w:rPr>
            </w:pPr>
          </w:p>
          <w:p w14:paraId="223EEE63" w14:textId="634C1C49" w:rsidR="0079351F" w:rsidRPr="00D714C1" w:rsidRDefault="0079351F" w:rsidP="47F14592">
            <w:pPr>
              <w:rPr>
                <w:lang w:val="es-CO"/>
              </w:rPr>
            </w:pPr>
          </w:p>
          <w:p w14:paraId="79E611EE" w14:textId="77777777" w:rsidR="0079351F" w:rsidRPr="00D714C1" w:rsidRDefault="0079351F" w:rsidP="47F14592">
            <w:pPr>
              <w:rPr>
                <w:lang w:val="es-CO"/>
              </w:rPr>
            </w:pPr>
          </w:p>
          <w:p w14:paraId="2D147E2E" w14:textId="77777777" w:rsidR="00AC2E6E" w:rsidRPr="00D714C1" w:rsidRDefault="00AC2E6E" w:rsidP="47F14592">
            <w:pPr>
              <w:rPr>
                <w:lang w:val="es-CO"/>
              </w:rPr>
            </w:pPr>
          </w:p>
          <w:p w14:paraId="7F73B079" w14:textId="77777777" w:rsidR="006D70C8" w:rsidRPr="00D714C1" w:rsidRDefault="00A07D20" w:rsidP="47F14592">
            <w:pPr>
              <w:spacing w:before="0" w:after="0"/>
              <w:contextualSpacing/>
              <w:jc w:val="left"/>
              <w:rPr>
                <w:lang w:val="es-CO"/>
              </w:rPr>
            </w:pPr>
            <w:r>
              <w:fldChar w:fldCharType="begin"/>
            </w:r>
            <w:r w:rsidRPr="00A07D20">
              <w:rPr>
                <w:lang w:val="es-ES"/>
              </w:rPr>
              <w:instrText xml:space="preserve"> HYPERLINK "https://www.unicef.org/media/65931/file/Social%20stigma%20associated%20with%20the%20coronavirus%20disease%202019%20(COVID-19).pdf" </w:instrText>
            </w:r>
            <w:r>
              <w:fldChar w:fldCharType="separate"/>
            </w:r>
            <w:r w:rsidR="006D70C8" w:rsidRPr="00D714C1">
              <w:rPr>
                <w:color w:val="0563C1"/>
                <w:u w:val="single"/>
                <w:lang w:val="es-CO" w:bidi="es-CO"/>
              </w:rPr>
              <w:t>Guía para prevenir y abordar el estigma social asociado a la enfermedad por coronavirus (COVID-19)</w:t>
            </w:r>
            <w:r>
              <w:rPr>
                <w:color w:val="0563C1"/>
                <w:u w:val="single"/>
                <w:lang w:val="es-CO" w:bidi="es-CO"/>
              </w:rPr>
              <w:fldChar w:fldCharType="end"/>
            </w:r>
            <w:r w:rsidR="006D70C8" w:rsidRPr="00D714C1">
              <w:rPr>
                <w:lang w:val="es-CO" w:bidi="es-CO"/>
              </w:rPr>
              <w:t xml:space="preserve"> - FICR, UNICEF, OMS</w:t>
            </w:r>
          </w:p>
          <w:p w14:paraId="7ACE7B2B" w14:textId="77777777" w:rsidR="0086256A" w:rsidRPr="00D714C1" w:rsidRDefault="0086256A" w:rsidP="00835E9A">
            <w:pPr>
              <w:rPr>
                <w:lang w:val="es-CO"/>
              </w:rPr>
            </w:pPr>
          </w:p>
          <w:p w14:paraId="57E0193C" w14:textId="77777777" w:rsidR="0086256A" w:rsidRPr="00D714C1" w:rsidRDefault="0086256A" w:rsidP="00835E9A">
            <w:pPr>
              <w:rPr>
                <w:lang w:val="es-CO"/>
              </w:rPr>
            </w:pPr>
          </w:p>
          <w:p w14:paraId="6F050DBE" w14:textId="77777777" w:rsidR="006D70C8" w:rsidRPr="00D714C1" w:rsidRDefault="006D70C8" w:rsidP="47F14592">
            <w:pPr>
              <w:jc w:val="left"/>
              <w:rPr>
                <w:rFonts w:eastAsia="Calibri"/>
                <w:color w:val="0563C1"/>
                <w:u w:val="single"/>
                <w:lang w:val="es-CO"/>
              </w:rPr>
            </w:pPr>
            <w:r w:rsidRPr="00D714C1">
              <w:rPr>
                <w:rFonts w:eastAsia="Calibri"/>
                <w:lang w:val="es-CO" w:bidi="es-CO"/>
              </w:rPr>
              <w:t xml:space="preserve">Curso de la OMS: </w:t>
            </w:r>
            <w:r w:rsidR="00A07D20">
              <w:fldChar w:fldCharType="begin"/>
            </w:r>
            <w:r w:rsidR="00A07D20" w:rsidRPr="00A07D20">
              <w:rPr>
                <w:lang w:val="es-ES"/>
              </w:rPr>
              <w:instrText xml:space="preserve"> HYPERLINK "https://openwho.org/courses/COVID-19-IPC-EN" </w:instrText>
            </w:r>
            <w:r w:rsidR="00A07D20">
              <w:fldChar w:fldCharType="separate"/>
            </w:r>
            <w:r w:rsidRPr="00D714C1">
              <w:rPr>
                <w:rFonts w:eastAsia="Calibri"/>
                <w:color w:val="0563C1"/>
                <w:u w:val="single"/>
                <w:lang w:val="es-CO" w:bidi="es-CO"/>
              </w:rPr>
              <w:t>Prevención y control de infecciones (PCI) causadas por el nuevo coronavirus (COVID-19)</w:t>
            </w:r>
            <w:r w:rsidR="00A07D20">
              <w:rPr>
                <w:rFonts w:eastAsia="Calibri"/>
                <w:color w:val="0563C1"/>
                <w:u w:val="single"/>
                <w:lang w:val="es-CO" w:bidi="es-CO"/>
              </w:rPr>
              <w:fldChar w:fldCharType="end"/>
            </w:r>
          </w:p>
          <w:p w14:paraId="7EA119DB" w14:textId="77777777" w:rsidR="009A7A5E" w:rsidRPr="00D714C1" w:rsidRDefault="009A7A5E" w:rsidP="00835E9A">
            <w:pPr>
              <w:jc w:val="left"/>
              <w:rPr>
                <w:color w:val="0563C1"/>
                <w:u w:val="single"/>
                <w:lang w:val="es-CO"/>
              </w:rPr>
            </w:pPr>
          </w:p>
          <w:p w14:paraId="55F45591" w14:textId="11FB08E7" w:rsidR="006D70C8" w:rsidRPr="00D714C1" w:rsidRDefault="006D70C8" w:rsidP="00835E9A">
            <w:pPr>
              <w:jc w:val="left"/>
              <w:rPr>
                <w:color w:val="0563C1"/>
                <w:u w:val="single"/>
                <w:lang w:val="es-CO"/>
              </w:rPr>
            </w:pPr>
          </w:p>
          <w:p w14:paraId="66915231" w14:textId="77777777" w:rsidR="001F0A54" w:rsidRPr="00D714C1" w:rsidRDefault="001F0A54" w:rsidP="00835E9A">
            <w:pPr>
              <w:jc w:val="left"/>
              <w:rPr>
                <w:color w:val="0563C1"/>
                <w:u w:val="single"/>
                <w:lang w:val="es-CO"/>
              </w:rPr>
            </w:pPr>
          </w:p>
          <w:p w14:paraId="28634DA5" w14:textId="05411A01" w:rsidR="00EC43CB" w:rsidRPr="00D714C1" w:rsidRDefault="006D70C8" w:rsidP="00835E9A">
            <w:pPr>
              <w:jc w:val="left"/>
              <w:rPr>
                <w:color w:val="0563C1"/>
                <w:u w:val="single"/>
                <w:lang w:val="es-CO"/>
              </w:rPr>
            </w:pPr>
            <w:r w:rsidRPr="00D714C1">
              <w:rPr>
                <w:color w:val="0563C1"/>
                <w:u w:val="single"/>
                <w:lang w:val="es-CO" w:bidi="es-CO"/>
              </w:rPr>
              <w:t xml:space="preserve">Guía indicativa del Centro de Control de Enfermedades: </w:t>
            </w:r>
            <w:r w:rsidR="00A07D20">
              <w:fldChar w:fldCharType="begin"/>
            </w:r>
            <w:r w:rsidR="00A07D20" w:rsidRPr="00A07D20">
              <w:rPr>
                <w:lang w:val="es-ES"/>
              </w:rPr>
              <w:instrText xml:space="preserve"> HYPERLINK "https://www.cdc.gov/coronavirus/2019-ncov/community/large-events/index.html" </w:instrText>
            </w:r>
            <w:r w:rsidR="00A07D20">
              <w:fldChar w:fldCharType="separate"/>
            </w:r>
            <w:r w:rsidRPr="00D714C1">
              <w:rPr>
                <w:rFonts w:eastAsia="Calibri"/>
                <w:color w:val="0563C1"/>
                <w:u w:val="single"/>
                <w:lang w:val="es-CO" w:bidi="es-CO"/>
              </w:rPr>
              <w:t>Recursos para grandes eventos comunitarios y congregaciones</w:t>
            </w:r>
            <w:r w:rsidR="00A07D20">
              <w:rPr>
                <w:rFonts w:eastAsia="Calibri"/>
                <w:color w:val="0563C1"/>
                <w:u w:val="single"/>
                <w:lang w:val="es-CO" w:bidi="es-CO"/>
              </w:rPr>
              <w:fldChar w:fldCharType="end"/>
            </w:r>
            <w:r w:rsidRPr="00D714C1">
              <w:rPr>
                <w:rFonts w:eastAsia="Calibri"/>
                <w:lang w:val="es-CO" w:bidi="es-CO"/>
              </w:rPr>
              <w:t xml:space="preserve"> </w:t>
            </w:r>
          </w:p>
          <w:p w14:paraId="6A1D3B53" w14:textId="0B0D3067" w:rsidR="006D70C8" w:rsidRPr="00D714C1" w:rsidRDefault="00A07D20" w:rsidP="00A43E43">
            <w:pPr>
              <w:jc w:val="left"/>
              <w:rPr>
                <w:lang w:val="es-CO"/>
              </w:rPr>
            </w:pPr>
            <w:r>
              <w:fldChar w:fldCharType="begin"/>
            </w:r>
            <w:r w:rsidRPr="00A07D20">
              <w:rPr>
                <w:lang w:val="es-ES"/>
              </w:rPr>
              <w:instrText xml:space="preserve"> HYPERLINK "https://www.who.int/emergencies/di</w:instrText>
            </w:r>
            <w:r w:rsidRPr="00A07D20">
              <w:rPr>
                <w:lang w:val="es-ES"/>
              </w:rPr>
              <w:instrText xml:space="preserve">seases/novel-coronavirus-2019/technical-guidance/risk-communication-and-community-engagement" </w:instrText>
            </w:r>
            <w:r>
              <w:fldChar w:fldCharType="separate"/>
            </w:r>
            <w:r w:rsidR="006D70C8" w:rsidRPr="00D714C1">
              <w:rPr>
                <w:rStyle w:val="Hyperlink"/>
                <w:lang w:val="es-CO" w:bidi="es-CO"/>
              </w:rPr>
              <w:t>Guía de la OMS sobre comunicación de riesgos y participación comunitaria</w:t>
            </w:r>
            <w:r>
              <w:rPr>
                <w:rStyle w:val="Hyperlink"/>
                <w:lang w:val="es-CO" w:bidi="es-CO"/>
              </w:rPr>
              <w:fldChar w:fldCharType="end"/>
            </w:r>
          </w:p>
          <w:bookmarkStart w:id="1" w:name="_Hlk38581028"/>
          <w:p w14:paraId="22876F35" w14:textId="517F3D98" w:rsidR="006D70C8" w:rsidRPr="00D714C1" w:rsidRDefault="006D70C8" w:rsidP="47F14592">
            <w:pPr>
              <w:jc w:val="left"/>
              <w:rPr>
                <w:lang w:val="es-CO"/>
              </w:rPr>
            </w:pPr>
            <w:r w:rsidRPr="00D714C1">
              <w:rPr>
                <w:lang w:val="es-CO" w:bidi="es-CO"/>
              </w:rPr>
              <w:fldChar w:fldCharType="begin"/>
            </w:r>
            <w:r w:rsidRPr="00D714C1">
              <w:rPr>
                <w:lang w:val="es-CO" w:bidi="es-CO"/>
              </w:rPr>
              <w:instrText xml:space="preserve"> HYPERLINK "https://reliefweb.int/report/world/covid-19-how-include-marginalized-and-vulnerable-people-risk-communication-and-0" </w:instrText>
            </w:r>
            <w:r w:rsidRPr="00D714C1">
              <w:rPr>
                <w:lang w:val="es-CO" w:bidi="es-CO"/>
              </w:rPr>
              <w:fldChar w:fldCharType="separate"/>
            </w:r>
            <w:r w:rsidRPr="00D714C1">
              <w:rPr>
                <w:rStyle w:val="Hyperlink"/>
                <w:lang w:val="es-CO" w:bidi="es-CO"/>
              </w:rPr>
              <w:t>FICR-OCHA-OMS: COVID-19: Cómo incluir personas marginadas y vulnerables en comunicación de riesgos y participación comunitaria</w:t>
            </w:r>
            <w:r w:rsidRPr="00D714C1">
              <w:rPr>
                <w:lang w:val="es-CO" w:bidi="es-CO"/>
              </w:rPr>
              <w:fldChar w:fldCharType="end"/>
            </w:r>
            <w:bookmarkEnd w:id="1"/>
          </w:p>
        </w:tc>
      </w:tr>
      <w:tr w:rsidR="006D70C8" w:rsidRPr="00A07D20" w14:paraId="411626C2" w14:textId="7AAD0C30" w:rsidTr="009A274A">
        <w:trPr>
          <w:cantSplit/>
        </w:trPr>
        <w:tc>
          <w:tcPr>
            <w:tcW w:w="2484" w:type="dxa"/>
            <w:shd w:val="clear" w:color="auto" w:fill="E1E9EF" w:themeFill="accent3" w:themeFillTint="33"/>
          </w:tcPr>
          <w:p w14:paraId="7C4920C8" w14:textId="74DBF0CC" w:rsidR="006D70C8" w:rsidRPr="00D714C1" w:rsidRDefault="006D70C8" w:rsidP="00C9543C">
            <w:pPr>
              <w:pStyle w:val="NoSpacing"/>
              <w:rPr>
                <w:b/>
                <w:bCs/>
                <w:lang w:val="es-CO"/>
              </w:rPr>
            </w:pPr>
            <w:r w:rsidRPr="00D714C1">
              <w:rPr>
                <w:b/>
                <w:lang w:val="es-CO" w:bidi="es-CO"/>
              </w:rPr>
              <w:lastRenderedPageBreak/>
              <w:t>¿Qué métodos digitales se pueden emplear? ¿Cuánto cuesta, qué recursos se requieren y cuánto tiempo toma desarrollarlos?</w:t>
            </w:r>
          </w:p>
        </w:tc>
        <w:tc>
          <w:tcPr>
            <w:tcW w:w="4261" w:type="dxa"/>
          </w:tcPr>
          <w:p w14:paraId="16EA3F85" w14:textId="50142BA2" w:rsidR="006D70C8" w:rsidRPr="00D714C1" w:rsidRDefault="006D70C8" w:rsidP="00AA37BA">
            <w:pPr>
              <w:pStyle w:val="BulletinTable"/>
              <w:rPr>
                <w:lang w:val="es-CO"/>
              </w:rPr>
            </w:pPr>
            <w:r w:rsidRPr="00D714C1">
              <w:rPr>
                <w:lang w:val="es-CO" w:bidi="es-CO"/>
              </w:rPr>
              <w:t>Dado que el acceso geográfico está restringido, ¿por qué no estamos aprovechando el internet para dar mensajes? Ya los materiales existen; solo hay que adaptarlos para usarlos en línea. Los presupuestos no son estrictamente necesarios; solo se necesita capacidad y entender las redes populares de los distintos países. Es algo que potencialmente podríamos introducir bastante rápido.</w:t>
            </w:r>
          </w:p>
          <w:p w14:paraId="33939B1F" w14:textId="77777777" w:rsidR="006D70C8" w:rsidRPr="00D714C1" w:rsidRDefault="006D70C8" w:rsidP="00AA37BA">
            <w:pPr>
              <w:pStyle w:val="BulletinTable"/>
              <w:rPr>
                <w:lang w:val="es-CO"/>
              </w:rPr>
            </w:pPr>
            <w:r w:rsidRPr="00D714C1">
              <w:rPr>
                <w:lang w:val="es-CO" w:bidi="es-CO"/>
              </w:rPr>
              <w:t>Para los colegas que están usando redes sociales/medios de comunicación o tecnología móvil para difundir mensajes de educación de riesgos, ¿podrían compartir qué recursos necesitaron para desarrollar y difundir el material?  Incluyan algunas ideas del presupuesto requerido y cuánto tiempo les tomó desarrollar el material nuevo.</w:t>
            </w:r>
          </w:p>
          <w:p w14:paraId="40B2CAE1" w14:textId="18789BC0" w:rsidR="006D70C8" w:rsidRPr="00D714C1" w:rsidRDefault="006D70C8" w:rsidP="00AA37BA">
            <w:pPr>
              <w:pStyle w:val="BulletinTable"/>
              <w:rPr>
                <w:lang w:val="es-CO"/>
              </w:rPr>
            </w:pPr>
            <w:r w:rsidRPr="00D714C1">
              <w:rPr>
                <w:lang w:val="es-CO" w:bidi="es-CO"/>
              </w:rPr>
              <w:t xml:space="preserve">¡Cualquier experiencia con </w:t>
            </w:r>
            <w:r w:rsidR="00B316FF">
              <w:rPr>
                <w:lang w:val="es-CO" w:bidi="es-CO"/>
              </w:rPr>
              <w:t>educación en el riesgo de artefactos explosivos</w:t>
            </w:r>
            <w:r w:rsidRPr="00D714C1">
              <w:rPr>
                <w:lang w:val="es-CO" w:bidi="es-CO"/>
              </w:rPr>
              <w:t xml:space="preserve"> en línea sería genial!</w:t>
            </w:r>
          </w:p>
          <w:p w14:paraId="7B06C95C" w14:textId="2EF783FA" w:rsidR="006D70C8" w:rsidRPr="00D714C1" w:rsidRDefault="006D70C8" w:rsidP="00AA37BA">
            <w:pPr>
              <w:pStyle w:val="BulletinTable"/>
              <w:rPr>
                <w:lang w:val="es-CO"/>
              </w:rPr>
            </w:pPr>
            <w:r w:rsidRPr="00D714C1">
              <w:rPr>
                <w:lang w:val="es-CO" w:bidi="es-CO"/>
              </w:rPr>
              <w:t>¿Qué posibilidad hay de usar las redes sociales más populares entre los jóvenes como TikTok y Snapchat?</w:t>
            </w:r>
          </w:p>
          <w:p w14:paraId="5605402A" w14:textId="0A620689" w:rsidR="006D70C8" w:rsidRPr="00D714C1" w:rsidRDefault="006D70C8" w:rsidP="00AA37BA">
            <w:pPr>
              <w:pStyle w:val="BulletinTable"/>
              <w:rPr>
                <w:lang w:val="es-CO"/>
              </w:rPr>
            </w:pPr>
            <w:r w:rsidRPr="00D714C1">
              <w:rPr>
                <w:lang w:val="es-CO" w:bidi="es-CO"/>
              </w:rPr>
              <w:t xml:space="preserve">¿Qué hay del uso de dispositivos MP3 para lecciones de </w:t>
            </w:r>
            <w:r w:rsidR="00B316FF">
              <w:rPr>
                <w:lang w:val="es-CO" w:bidi="es-CO"/>
              </w:rPr>
              <w:t>educación en el riesgo de artefactos explosivos</w:t>
            </w:r>
            <w:r w:rsidRPr="00D714C1">
              <w:rPr>
                <w:lang w:val="es-CO" w:bidi="es-CO"/>
              </w:rPr>
              <w:t xml:space="preserve"> junto con la distribución de folletos? Aunque todavía tenemos que evaluar los costos y las implicaciones para la salud producto de tal distribución con medidas adecuadas de mitigación del riesgo de contagio de COVID-19.</w:t>
            </w:r>
          </w:p>
          <w:p w14:paraId="4933E994" w14:textId="63CB2D81" w:rsidR="006D70C8" w:rsidRPr="00D714C1" w:rsidRDefault="006D70C8" w:rsidP="00AA37BA">
            <w:pPr>
              <w:pStyle w:val="BulletinTable"/>
              <w:rPr>
                <w:lang w:val="es-CO"/>
              </w:rPr>
            </w:pPr>
            <w:r w:rsidRPr="00D714C1">
              <w:rPr>
                <w:lang w:val="es-CO" w:bidi="es-CO"/>
              </w:rPr>
              <w:t xml:space="preserve">¿Cuándo se publicará la Revisión del CIDHG de las nuevas tecnologías y metodologías para la </w:t>
            </w:r>
            <w:r w:rsidR="00B316FF">
              <w:rPr>
                <w:lang w:val="es-CO" w:bidi="es-CO"/>
              </w:rPr>
              <w:t>educación en el riesgo de artefactos explosivos</w:t>
            </w:r>
            <w:r w:rsidRPr="00D714C1">
              <w:rPr>
                <w:lang w:val="es-CO" w:bidi="es-CO"/>
              </w:rPr>
              <w:t xml:space="preserve"> en </w:t>
            </w:r>
            <w:r w:rsidRPr="00D714C1">
              <w:rPr>
                <w:lang w:val="es-CO" w:bidi="es-CO"/>
              </w:rPr>
              <w:lastRenderedPageBreak/>
              <w:t>contextos desafiantes (presentada por Sylvie Bouko)?</w:t>
            </w:r>
          </w:p>
          <w:p w14:paraId="1C7B854E" w14:textId="5FCFFD43" w:rsidR="006D70C8" w:rsidRPr="00D714C1" w:rsidRDefault="006D70C8" w:rsidP="47F14592">
            <w:pPr>
              <w:pStyle w:val="BulletinTable"/>
              <w:numPr>
                <w:ilvl w:val="0"/>
                <w:numId w:val="0"/>
              </w:numPr>
              <w:ind w:left="720"/>
              <w:rPr>
                <w:lang w:val="es-CO"/>
              </w:rPr>
            </w:pPr>
          </w:p>
        </w:tc>
        <w:tc>
          <w:tcPr>
            <w:tcW w:w="11340" w:type="dxa"/>
            <w:shd w:val="clear" w:color="auto" w:fill="E1E9EF" w:themeFill="accent3" w:themeFillTint="33"/>
          </w:tcPr>
          <w:p w14:paraId="09156B35" w14:textId="61572E1C" w:rsidR="006D70C8" w:rsidRPr="00D714C1" w:rsidRDefault="11AB6C8B" w:rsidP="4F43A638">
            <w:pPr>
              <w:spacing w:line="259" w:lineRule="auto"/>
              <w:jc w:val="left"/>
              <w:rPr>
                <w:lang w:val="es-CO"/>
              </w:rPr>
            </w:pPr>
            <w:r w:rsidRPr="00D714C1">
              <w:rPr>
                <w:lang w:val="es-CO" w:bidi="es-CO"/>
              </w:rPr>
              <w:lastRenderedPageBreak/>
              <w:t xml:space="preserve">En muchos contextos se pueden difundir mensajes de </w:t>
            </w:r>
            <w:r w:rsidR="00B316FF">
              <w:rPr>
                <w:lang w:val="es-CO" w:bidi="es-CO"/>
              </w:rPr>
              <w:t>educación en el riesgo de artefactos explosivos</w:t>
            </w:r>
            <w:r w:rsidRPr="00D714C1">
              <w:rPr>
                <w:lang w:val="es-CO" w:bidi="es-CO"/>
              </w:rPr>
              <w:t xml:space="preserve">/COVID usando herramientas tecnológicas como WhatsApp, Facebook o a través de aplicaciones digitales. Como parte de la continua Revisión de las nuevas tecnologías y metodologías para la </w:t>
            </w:r>
            <w:r w:rsidR="00B316FF">
              <w:rPr>
                <w:lang w:val="es-CO" w:bidi="es-CO"/>
              </w:rPr>
              <w:t>educación en el riesgo de artefactos explosivos</w:t>
            </w:r>
            <w:r w:rsidRPr="00D714C1">
              <w:rPr>
                <w:lang w:val="es-CO" w:bidi="es-CO"/>
              </w:rPr>
              <w:t xml:space="preserve"> en contextos desafiantes, el CIDHG elaboró un cuadro que contiene distintas maneras de llegar digitalmente a comunidades con accesibilidad limitada. Se tiene previsto publicar el informe completo en junio, que incluirá una sección sobre el contacto remoto con las comunidades. El CICR también hizo un estudio del uso de la comunicación digital en la conciencia del riesgo y comportamientos más seguros en contextos contaminados por armas. Algunas otras ideas que se utilizan actualmente en los mensajes sobre </w:t>
            </w:r>
            <w:r w:rsidR="00B316FF">
              <w:rPr>
                <w:lang w:val="es-CO" w:bidi="es-CO"/>
              </w:rPr>
              <w:t>educación en el riesgo de artefactos explosivos</w:t>
            </w:r>
            <w:r w:rsidRPr="00D714C1">
              <w:rPr>
                <w:lang w:val="es-CO" w:bidi="es-CO"/>
              </w:rPr>
              <w:t xml:space="preserve"> y/o COVID-19 incluyen:</w:t>
            </w:r>
          </w:p>
          <w:p w14:paraId="2FBAE8F6" w14:textId="07D12C90" w:rsidR="006D70C8" w:rsidRPr="00D714C1" w:rsidRDefault="006D70C8" w:rsidP="4F43A638">
            <w:pPr>
              <w:spacing w:line="259" w:lineRule="auto"/>
              <w:jc w:val="left"/>
              <w:rPr>
                <w:lang w:val="es-CO"/>
              </w:rPr>
            </w:pPr>
            <w:r w:rsidRPr="00D714C1">
              <w:rPr>
                <w:b/>
                <w:u w:val="single"/>
                <w:lang w:val="es-CO" w:bidi="es-CO"/>
              </w:rPr>
              <w:t>Medios móviles</w:t>
            </w:r>
          </w:p>
          <w:p w14:paraId="4D5B8FEE" w14:textId="16E26292" w:rsidR="006D70C8" w:rsidRPr="00D714C1" w:rsidRDefault="11AB6C8B" w:rsidP="00A07D20">
            <w:pPr>
              <w:pStyle w:val="BulletinTable"/>
              <w:numPr>
                <w:ilvl w:val="0"/>
                <w:numId w:val="0"/>
              </w:numPr>
              <w:spacing w:before="0" w:after="0"/>
              <w:rPr>
                <w:lang w:val="es-CO"/>
              </w:rPr>
            </w:pPr>
            <w:bookmarkStart w:id="2" w:name="_GoBack"/>
            <w:bookmarkEnd w:id="2"/>
            <w:r w:rsidRPr="00D714C1">
              <w:rPr>
                <w:lang w:val="es-CO" w:bidi="es-CO"/>
              </w:rPr>
              <w:t xml:space="preserve">Trabajar con proveedores de redes móviles para enviar mensajes de texto con regularidad a todos sus usuarios de un área. Esto ya se está haciendo en algunos lugares como parte de la respuesta a la COVID-19. Podríamos pensar en integrar mensajes de </w:t>
            </w:r>
            <w:r w:rsidR="00B316FF">
              <w:rPr>
                <w:lang w:val="es-CO" w:bidi="es-CO"/>
              </w:rPr>
              <w:t>educación en el riesgo de artefactos explosivos</w:t>
            </w:r>
            <w:r w:rsidRPr="00D714C1">
              <w:rPr>
                <w:lang w:val="es-CO" w:bidi="es-CO"/>
              </w:rPr>
              <w:t xml:space="preserve"> y COVID-19, dirigidos a campos de PID, por ejemplo, o definidos para un área geográfica.</w:t>
            </w:r>
          </w:p>
          <w:p w14:paraId="02385276" w14:textId="26222933" w:rsidR="006D70C8" w:rsidRPr="00D714C1" w:rsidRDefault="006D70C8" w:rsidP="47F14592">
            <w:pPr>
              <w:spacing w:before="240" w:line="259" w:lineRule="auto"/>
              <w:jc w:val="left"/>
              <w:rPr>
                <w:b/>
                <w:bCs/>
                <w:u w:val="single"/>
                <w:lang w:val="es-CO"/>
              </w:rPr>
            </w:pPr>
            <w:r w:rsidRPr="00D714C1">
              <w:rPr>
                <w:b/>
                <w:u w:val="single"/>
                <w:lang w:val="es-CO" w:bidi="es-CO"/>
              </w:rPr>
              <w:t>Redes sociales</w:t>
            </w:r>
          </w:p>
          <w:p w14:paraId="122A9048" w14:textId="0C845D3E" w:rsidR="006D70C8" w:rsidRPr="00D714C1" w:rsidRDefault="006D70C8" w:rsidP="47F14592">
            <w:pPr>
              <w:jc w:val="left"/>
              <w:rPr>
                <w:rStyle w:val="Hyperlink"/>
                <w:rFonts w:asciiTheme="minorHAnsi" w:eastAsiaTheme="minorEastAsia" w:hAnsiTheme="minorHAnsi" w:cstheme="minorBidi"/>
                <w:lang w:val="es-CO"/>
              </w:rPr>
            </w:pPr>
            <w:r w:rsidRPr="00D714C1">
              <w:rPr>
                <w:lang w:val="es-CO" w:bidi="es-CO"/>
              </w:rPr>
              <w:t xml:space="preserve">Se están usando servicios de mensajería móvil para difundir mensajes sobre la COVID-19, p. ej., </w:t>
            </w:r>
            <w:r w:rsidR="00A07D20">
              <w:fldChar w:fldCharType="begin"/>
            </w:r>
            <w:r w:rsidR="00A07D20" w:rsidRPr="00A07D20">
              <w:rPr>
                <w:lang w:val="es-ES"/>
              </w:rPr>
              <w:instrText xml:space="preserve"> HYPERLINK "https://www.whatsapp.com/coronavirus/who" </w:instrText>
            </w:r>
            <w:r w:rsidR="00A07D20">
              <w:fldChar w:fldCharType="separate"/>
            </w:r>
            <w:r w:rsidRPr="00D714C1">
              <w:rPr>
                <w:rStyle w:val="Hyperlink"/>
                <w:lang w:val="es-CO" w:bidi="es-CO"/>
              </w:rPr>
              <w:t>WhatsApp</w:t>
            </w:r>
            <w:r w:rsidR="00A07D20">
              <w:rPr>
                <w:rStyle w:val="Hyperlink"/>
                <w:lang w:val="es-CO" w:bidi="es-CO"/>
              </w:rPr>
              <w:fldChar w:fldCharType="end"/>
            </w:r>
            <w:r w:rsidRPr="00D714C1">
              <w:rPr>
                <w:lang w:val="es-CO" w:bidi="es-CO"/>
              </w:rPr>
              <w:t xml:space="preserve"> y </w:t>
            </w:r>
            <w:r w:rsidR="00A07D20">
              <w:fldChar w:fldCharType="begin"/>
            </w:r>
            <w:r w:rsidR="00A07D20" w:rsidRPr="00A07D20">
              <w:rPr>
                <w:lang w:val="es-ES"/>
              </w:rPr>
              <w:instrText xml:space="preserve"> HYPERLINK "https://www.euronews.com/2020/03/31/viber-messaging-platform-is-latest-to-coun</w:instrText>
            </w:r>
            <w:r w:rsidR="00A07D20" w:rsidRPr="00A07D20">
              <w:rPr>
                <w:lang w:val="es-ES"/>
              </w:rPr>
              <w:instrText xml:space="preserve">ter-covid-19-misinformation" </w:instrText>
            </w:r>
            <w:r w:rsidR="00A07D20">
              <w:fldChar w:fldCharType="separate"/>
            </w:r>
            <w:proofErr w:type="spellStart"/>
            <w:r w:rsidRPr="00D714C1">
              <w:rPr>
                <w:rStyle w:val="Hyperlink"/>
                <w:lang w:val="es-CO" w:bidi="es-CO"/>
              </w:rPr>
              <w:t>Viber</w:t>
            </w:r>
            <w:proofErr w:type="spellEnd"/>
            <w:r w:rsidR="00A07D20">
              <w:rPr>
                <w:rStyle w:val="Hyperlink"/>
                <w:lang w:val="es-CO" w:bidi="es-CO"/>
              </w:rPr>
              <w:fldChar w:fldCharType="end"/>
            </w:r>
            <w:r w:rsidRPr="00D714C1">
              <w:rPr>
                <w:rStyle w:val="Hyperlink"/>
                <w:lang w:val="es-CO" w:bidi="es-CO"/>
              </w:rPr>
              <w:t xml:space="preserve">. </w:t>
            </w:r>
            <w:r w:rsidRPr="00D714C1">
              <w:rPr>
                <w:lang w:val="es-CO" w:bidi="es-CO"/>
              </w:rPr>
              <w:t>Los hiperenlaces contienen más información de las respuestas de las empresas.</w:t>
            </w:r>
          </w:p>
          <w:p w14:paraId="3E670383" w14:textId="78F51678" w:rsidR="006D70C8" w:rsidRPr="00D714C1" w:rsidRDefault="006D70C8" w:rsidP="47F14592">
            <w:pPr>
              <w:pStyle w:val="BulletinTable"/>
              <w:spacing w:line="259" w:lineRule="auto"/>
              <w:rPr>
                <w:rStyle w:val="Hyperlink"/>
                <w:rFonts w:asciiTheme="minorHAnsi" w:eastAsiaTheme="minorEastAsia" w:hAnsiTheme="minorHAnsi" w:cstheme="minorBidi"/>
                <w:color w:val="0563C1"/>
                <w:szCs w:val="22"/>
                <w:lang w:val="es-CO"/>
              </w:rPr>
            </w:pPr>
            <w:r w:rsidRPr="00D714C1">
              <w:rPr>
                <w:lang w:val="es-CO" w:bidi="es-CO"/>
              </w:rPr>
              <w:t xml:space="preserve">También se pueden usar las redes sociales de maneras más focalizadas con grupos más pequeños. Por ejemplo, formar grupos con directores de escuelas particulares para transmitir mensajes más focalizados o usar plataformas como Skype y </w:t>
            </w:r>
            <w:proofErr w:type="gramStart"/>
            <w:r w:rsidRPr="00D714C1">
              <w:rPr>
                <w:lang w:val="es-CO" w:bidi="es-CO"/>
              </w:rPr>
              <w:t>Zoom</w:t>
            </w:r>
            <w:proofErr w:type="gramEnd"/>
            <w:r w:rsidRPr="00D714C1">
              <w:rPr>
                <w:lang w:val="es-CO" w:bidi="es-CO"/>
              </w:rPr>
              <w:t xml:space="preserve"> para comunicarse con los recopiladores de datos y entrevistadores.</w:t>
            </w:r>
          </w:p>
          <w:p w14:paraId="4AB60948" w14:textId="5408A9DC" w:rsidR="006D70C8" w:rsidRPr="00D714C1" w:rsidRDefault="00A07D20" w:rsidP="47F14592">
            <w:pPr>
              <w:pStyle w:val="BulletinTable"/>
              <w:spacing w:line="259" w:lineRule="auto"/>
              <w:rPr>
                <w:rStyle w:val="Hyperlink"/>
                <w:rFonts w:asciiTheme="minorHAnsi" w:eastAsiaTheme="minorEastAsia" w:hAnsiTheme="minorHAnsi" w:cstheme="minorBidi"/>
                <w:color w:val="0563C1"/>
                <w:szCs w:val="22"/>
                <w:lang w:val="es-CO"/>
              </w:rPr>
            </w:pPr>
            <w:r>
              <w:fldChar w:fldCharType="begin"/>
            </w:r>
            <w:r w:rsidRPr="00A07D20">
              <w:rPr>
                <w:lang w:val="es-ES"/>
              </w:rPr>
              <w:instrText xml:space="preserve"> HYPERLINK "https://ureport.in/about/" \h </w:instrText>
            </w:r>
            <w:r>
              <w:fldChar w:fldCharType="separate"/>
            </w:r>
            <w:r w:rsidR="006D70C8" w:rsidRPr="00D714C1">
              <w:rPr>
                <w:color w:val="0563C1"/>
                <w:szCs w:val="22"/>
                <w:u w:val="single"/>
                <w:lang w:val="es-CO" w:bidi="es-CO"/>
              </w:rPr>
              <w:t>U-</w:t>
            </w:r>
            <w:proofErr w:type="spellStart"/>
            <w:r w:rsidR="006D70C8" w:rsidRPr="00D714C1">
              <w:rPr>
                <w:color w:val="0563C1"/>
                <w:szCs w:val="22"/>
                <w:u w:val="single"/>
                <w:lang w:val="es-CO" w:bidi="es-CO"/>
              </w:rPr>
              <w:t>Report</w:t>
            </w:r>
            <w:proofErr w:type="spellEnd"/>
            <w:r>
              <w:rPr>
                <w:color w:val="0563C1"/>
                <w:szCs w:val="22"/>
                <w:u w:val="single"/>
                <w:lang w:val="es-CO" w:bidi="es-CO"/>
              </w:rPr>
              <w:fldChar w:fldCharType="end"/>
            </w:r>
            <w:r w:rsidR="006D70C8" w:rsidRPr="00D714C1">
              <w:rPr>
                <w:lang w:val="es-CO" w:bidi="es-CO"/>
              </w:rPr>
              <w:t xml:space="preserve"> (herramienta activa en 65 países): Plataforma de mensajes sociales en tiempo real disponible vía SMS, Facebook y </w:t>
            </w:r>
            <w:proofErr w:type="spellStart"/>
            <w:r w:rsidR="006D70C8" w:rsidRPr="00D714C1">
              <w:rPr>
                <w:lang w:val="es-CO" w:bidi="es-CO"/>
              </w:rPr>
              <w:t>Viber</w:t>
            </w:r>
            <w:proofErr w:type="spellEnd"/>
            <w:r w:rsidR="006D70C8" w:rsidRPr="00D714C1">
              <w:rPr>
                <w:lang w:val="es-CO" w:bidi="es-CO"/>
              </w:rPr>
              <w:t xml:space="preserve">, en la que los jóvenes pueden expresar sus opiniones y ser un agente positivo de cambio y obtener información que puede salvar vidas en casos de emergencia, lo que incluye </w:t>
            </w:r>
            <w:r w:rsidR="00B316FF">
              <w:rPr>
                <w:lang w:val="es-CO" w:bidi="es-CO"/>
              </w:rPr>
              <w:t>educación en el riesgo de artefactos explosivos</w:t>
            </w:r>
            <w:r w:rsidR="006D70C8" w:rsidRPr="00D714C1">
              <w:rPr>
                <w:lang w:val="es-CO" w:bidi="es-CO"/>
              </w:rPr>
              <w:t xml:space="preserve"> y COVID-19. Los usuarios de U-</w:t>
            </w:r>
            <w:proofErr w:type="spellStart"/>
            <w:r w:rsidR="006D70C8" w:rsidRPr="00D714C1">
              <w:rPr>
                <w:lang w:val="es-CO" w:bidi="es-CO"/>
              </w:rPr>
              <w:t>Report</w:t>
            </w:r>
            <w:proofErr w:type="spellEnd"/>
            <w:r w:rsidR="006D70C8" w:rsidRPr="00D714C1">
              <w:rPr>
                <w:lang w:val="es-CO" w:bidi="es-CO"/>
              </w:rPr>
              <w:t xml:space="preserve"> respondes encuestas, reportan problemas y apoyan los derechos de los niños.</w:t>
            </w:r>
          </w:p>
          <w:p w14:paraId="67F2E26A" w14:textId="40D42B64" w:rsidR="006D70C8" w:rsidRPr="00D714C1" w:rsidRDefault="006D70C8" w:rsidP="47F14592">
            <w:pPr>
              <w:pStyle w:val="BulletinTable"/>
              <w:spacing w:line="259" w:lineRule="auto"/>
              <w:rPr>
                <w:rFonts w:asciiTheme="minorHAnsi" w:eastAsiaTheme="minorEastAsia" w:hAnsiTheme="minorHAnsi" w:cstheme="minorBidi"/>
                <w:szCs w:val="22"/>
                <w:u w:val="single"/>
                <w:lang w:val="es-CO"/>
              </w:rPr>
            </w:pPr>
            <w:r w:rsidRPr="00D714C1">
              <w:rPr>
                <w:lang w:val="es-CO" w:bidi="es-CO"/>
              </w:rPr>
              <w:t>Se pueden usar MP3 y otros dispositivos móviles. No obstante, es importante limpiar y desinfectar con frecuencia los objetos que se hayan tocado, con un trapo húmedo y un aerosol regular de limpieza doméstica con desinfectante.</w:t>
            </w:r>
          </w:p>
          <w:p w14:paraId="5D19C7E3" w14:textId="29EA552C" w:rsidR="006D70C8" w:rsidRPr="00D714C1" w:rsidRDefault="006D70C8" w:rsidP="47F14592">
            <w:pPr>
              <w:spacing w:before="0" w:after="0"/>
              <w:jc w:val="left"/>
              <w:rPr>
                <w:lang w:val="es-CO"/>
              </w:rPr>
            </w:pPr>
          </w:p>
        </w:tc>
        <w:tc>
          <w:tcPr>
            <w:tcW w:w="3510" w:type="dxa"/>
            <w:shd w:val="clear" w:color="auto" w:fill="FFFFFF" w:themeFill="background1"/>
          </w:tcPr>
          <w:p w14:paraId="5BB985D9" w14:textId="41F8BF63" w:rsidR="006D70C8" w:rsidRPr="00D714C1" w:rsidRDefault="00A07D20" w:rsidP="00C9543C">
            <w:pPr>
              <w:spacing w:before="0" w:after="0"/>
              <w:jc w:val="left"/>
              <w:rPr>
                <w:lang w:val="es-CO"/>
              </w:rPr>
            </w:pPr>
            <w:r>
              <w:fldChar w:fldCharType="begin"/>
            </w:r>
            <w:r w:rsidRPr="00A07D20">
              <w:rPr>
                <w:lang w:val="es-ES"/>
              </w:rPr>
              <w:instrText xml:space="preserve"> HYPERLINK "https://unicef-my.sharepoint.com/:f:/g/personal/hlaurenge_unicef_org1/EgYxrseXFM1Fpp_HA9iEEEcBWAxEVAz7G5UKfvfsuoWUvQ?e=hm3jsg" </w:instrText>
            </w:r>
            <w:r>
              <w:fldChar w:fldCharType="separate"/>
            </w:r>
            <w:r w:rsidR="006D70C8" w:rsidRPr="00D714C1">
              <w:rPr>
                <w:rStyle w:val="Hyperlink"/>
                <w:lang w:val="es-CO" w:bidi="es-CO"/>
              </w:rPr>
              <w:t xml:space="preserve">Recursos para </w:t>
            </w:r>
            <w:r w:rsidR="00B316FF">
              <w:rPr>
                <w:rStyle w:val="Hyperlink"/>
                <w:lang w:val="es-CO" w:bidi="es-CO"/>
              </w:rPr>
              <w:t>educación en el riesgo de artefactos explosivos</w:t>
            </w:r>
            <w:r w:rsidR="006D70C8" w:rsidRPr="00D714C1">
              <w:rPr>
                <w:rStyle w:val="Hyperlink"/>
                <w:lang w:val="es-CO" w:bidi="es-CO"/>
              </w:rPr>
              <w:t xml:space="preserve"> a distancia (UNICEF, UNMAS, CICR, CIDHG)</w:t>
            </w:r>
            <w:r>
              <w:rPr>
                <w:rStyle w:val="Hyperlink"/>
                <w:lang w:val="es-CO" w:bidi="es-CO"/>
              </w:rPr>
              <w:fldChar w:fldCharType="end"/>
            </w:r>
            <w:r w:rsidR="006D70C8" w:rsidRPr="00D714C1">
              <w:rPr>
                <w:lang w:val="es-CO" w:bidi="es-CO"/>
              </w:rPr>
              <w:t xml:space="preserve"> </w:t>
            </w:r>
          </w:p>
        </w:tc>
      </w:tr>
      <w:tr w:rsidR="006D70C8" w:rsidRPr="00D714C1" w14:paraId="77AE9A54" w14:textId="1CE6F4C2" w:rsidTr="009A274A">
        <w:trPr>
          <w:cantSplit/>
        </w:trPr>
        <w:tc>
          <w:tcPr>
            <w:tcW w:w="2484" w:type="dxa"/>
            <w:shd w:val="clear" w:color="auto" w:fill="E1E9EF" w:themeFill="accent3" w:themeFillTint="33"/>
          </w:tcPr>
          <w:p w14:paraId="050FB482" w14:textId="4325D93C" w:rsidR="006D70C8" w:rsidRPr="00D714C1" w:rsidRDefault="006D70C8" w:rsidP="00AA37BA">
            <w:pPr>
              <w:pStyle w:val="Bold"/>
              <w:rPr>
                <w:lang w:val="es-CO"/>
              </w:rPr>
            </w:pPr>
            <w:r w:rsidRPr="00D714C1">
              <w:rPr>
                <w:lang w:val="es-CO" w:bidi="es-CO"/>
              </w:rPr>
              <w:lastRenderedPageBreak/>
              <w:t>¿Cómo podemos llegar a aquellos que no están en línea?</w:t>
            </w:r>
          </w:p>
        </w:tc>
        <w:tc>
          <w:tcPr>
            <w:tcW w:w="4261" w:type="dxa"/>
          </w:tcPr>
          <w:p w14:paraId="04F619D6" w14:textId="787FB313" w:rsidR="006D70C8" w:rsidRPr="00D714C1" w:rsidRDefault="006D70C8" w:rsidP="00AA37BA">
            <w:pPr>
              <w:pStyle w:val="BulletinTable"/>
              <w:rPr>
                <w:lang w:val="es-CO"/>
              </w:rPr>
            </w:pPr>
            <w:r w:rsidRPr="00D714C1">
              <w:rPr>
                <w:lang w:val="es-CO" w:bidi="es-CO"/>
              </w:rPr>
              <w:t>WhatsApp, videos de Facebook, etc., son buenas fuentes en algunos países, pero en otros, como Afganistán, que tienen problemas de electricidad y retos de acceso, particularmente en las áreas rurales, así como el problema del uso y el conocimiento del internet... ¿qué otra alternativa hay aparte de campañas de concienciación en radio?</w:t>
            </w:r>
          </w:p>
          <w:p w14:paraId="02236FAA" w14:textId="3A340067" w:rsidR="006D70C8" w:rsidRPr="00D714C1" w:rsidRDefault="006D70C8" w:rsidP="00FE5D3F">
            <w:pPr>
              <w:pStyle w:val="BulletinTable"/>
              <w:rPr>
                <w:lang w:val="es-CO"/>
              </w:rPr>
            </w:pPr>
            <w:r w:rsidRPr="00D714C1">
              <w:rPr>
                <w:lang w:val="es-CO" w:bidi="es-CO"/>
              </w:rPr>
              <w:t>Hay que tener en cuenta la accesibilidad y el uso (en términos de género y edad) de la tecnología digital y las redes sociales en tiempos de COVID-19 y más allá. ¿Llegarán nuestros mensajes a la gente correcta?</w:t>
            </w:r>
          </w:p>
          <w:p w14:paraId="657DB395" w14:textId="77777777" w:rsidR="006D70C8" w:rsidRPr="00D714C1" w:rsidRDefault="006D70C8" w:rsidP="47F14592">
            <w:pPr>
              <w:pStyle w:val="BulletinTable"/>
              <w:rPr>
                <w:rFonts w:asciiTheme="minorHAnsi" w:eastAsiaTheme="minorEastAsia" w:hAnsiTheme="minorHAnsi" w:cstheme="minorBidi"/>
                <w:lang w:val="es-CO"/>
              </w:rPr>
            </w:pPr>
            <w:r w:rsidRPr="00D714C1">
              <w:rPr>
                <w:lang w:val="es-CO" w:bidi="es-CO"/>
              </w:rPr>
              <w:t>La India es un país con una población de 1.3 mil millones de personas. Nuestro gobierno anunció un confinamiento de 21 días, desde el 25 de marzo hasta el 14 de abril. El confinamiento es muy estricto y la gente permanece en sus casas, con algunas variaciones. Tenemos que educar a la gente y hacerla consciente del horrible impacto de la COVID-19 en todos los caminos de la vida. En La India son muy pocas las personas que tienen la suerte de tener internet. Tenemos que contactarlas personalmente con precaución e informarles. ¿Qué sugieren y recomiendan? ¿Cómo podemos hacerlo en La India?</w:t>
            </w:r>
          </w:p>
          <w:p w14:paraId="468C9327" w14:textId="71FDDE77" w:rsidR="006D70C8" w:rsidRPr="00D714C1" w:rsidRDefault="006D70C8" w:rsidP="47F14592">
            <w:pPr>
              <w:pStyle w:val="BulletinTable"/>
              <w:rPr>
                <w:rFonts w:asciiTheme="minorHAnsi" w:eastAsiaTheme="minorEastAsia" w:hAnsiTheme="minorHAnsi" w:cstheme="minorBidi"/>
                <w:lang w:val="es-CO"/>
              </w:rPr>
            </w:pPr>
            <w:r w:rsidRPr="00D714C1">
              <w:rPr>
                <w:rFonts w:asciiTheme="minorHAnsi" w:eastAsiaTheme="minorEastAsia" w:hAnsiTheme="minorHAnsi" w:cstheme="minorBidi"/>
                <w:lang w:val="es-CO" w:bidi="es-CO"/>
              </w:rPr>
              <w:t>¿Cuánto cuesta cada Dispositivo de Comunicación de Educación de Riesgos (RETD, por sus siglas en inglés)?</w:t>
            </w:r>
          </w:p>
        </w:tc>
        <w:tc>
          <w:tcPr>
            <w:tcW w:w="11340" w:type="dxa"/>
            <w:shd w:val="clear" w:color="auto" w:fill="E1E9EF" w:themeFill="accent3" w:themeFillTint="33"/>
          </w:tcPr>
          <w:p w14:paraId="24CCEA62" w14:textId="2E10384E" w:rsidR="006D70C8" w:rsidRPr="00D714C1" w:rsidRDefault="006D70C8">
            <w:pPr>
              <w:spacing w:line="259" w:lineRule="auto"/>
              <w:jc w:val="left"/>
              <w:rPr>
                <w:rFonts w:eastAsia="Microsoft YaHei UI"/>
                <w:lang w:val="es-CO" w:eastAsia="en-GB"/>
              </w:rPr>
            </w:pPr>
            <w:r w:rsidRPr="00D714C1">
              <w:rPr>
                <w:lang w:val="es-CO" w:bidi="es-CO"/>
              </w:rPr>
              <w:t>Para llegar a las comunidades en las que los medios digitales son digitales o no son una opción, por ejemplo, aquellas en las que no hay conexión a internet, hay que considerar:</w:t>
            </w:r>
          </w:p>
          <w:p w14:paraId="3F8DE180" w14:textId="3C91B786" w:rsidR="006D70C8" w:rsidRPr="00D714C1" w:rsidRDefault="006D70C8" w:rsidP="00F46BF9">
            <w:pPr>
              <w:pStyle w:val="ListParagraph"/>
              <w:numPr>
                <w:ilvl w:val="0"/>
                <w:numId w:val="24"/>
              </w:numPr>
              <w:spacing w:line="259" w:lineRule="auto"/>
              <w:jc w:val="left"/>
              <w:rPr>
                <w:rFonts w:eastAsia="Microsoft YaHei UI"/>
                <w:lang w:val="es-CO" w:eastAsia="en-GB"/>
              </w:rPr>
            </w:pPr>
            <w:r w:rsidRPr="00D714C1">
              <w:rPr>
                <w:rFonts w:eastAsia="Microsoft YaHei UI"/>
                <w:lang w:val="es-CO" w:bidi="es-CO"/>
              </w:rPr>
              <w:t xml:space="preserve">El uso de aplicaciones digitales gratuitas como </w:t>
            </w:r>
            <w:r w:rsidR="00A07D20">
              <w:fldChar w:fldCharType="begin"/>
            </w:r>
            <w:r w:rsidR="00A07D20" w:rsidRPr="00A07D20">
              <w:rPr>
                <w:lang w:val="es-ES"/>
              </w:rPr>
              <w:instrText xml:space="preserve"> HYPERLINK "https://play.google.com/store/apps/details?id=com.dewmobile.kuaiya.play&amp;hl=fr" </w:instrText>
            </w:r>
            <w:r w:rsidR="00A07D20">
              <w:fldChar w:fldCharType="separate"/>
            </w:r>
            <w:r w:rsidRPr="00D714C1">
              <w:rPr>
                <w:rStyle w:val="Hyperlink"/>
                <w:rFonts w:eastAsia="Microsoft YaHei UI"/>
                <w:lang w:val="es-CO" w:bidi="es-CO"/>
              </w:rPr>
              <w:t>Zapya</w:t>
            </w:r>
            <w:r w:rsidR="00A07D20">
              <w:rPr>
                <w:rStyle w:val="Hyperlink"/>
                <w:rFonts w:eastAsia="Microsoft YaHei UI"/>
                <w:lang w:val="es-CO" w:bidi="es-CO"/>
              </w:rPr>
              <w:fldChar w:fldCharType="end"/>
            </w:r>
            <w:r w:rsidRPr="00D714C1">
              <w:rPr>
                <w:rFonts w:eastAsia="Microsoft YaHei UI"/>
                <w:lang w:val="es-CO" w:bidi="es-CO"/>
              </w:rPr>
              <w:t xml:space="preserve">, que ofrecen la posibilidad de compartir archivos de un dispositivo a otro sin necesidad de cables o datos móviles. Se puede lograr la transferencia de archivos masivos entre múltiples plataformas con velocidades de hasta 10 Mb/segundo. La </w:t>
            </w:r>
            <w:r w:rsidR="00A07D20">
              <w:fldChar w:fldCharType="begin"/>
            </w:r>
            <w:r w:rsidR="00A07D20" w:rsidRPr="00A07D20">
              <w:rPr>
                <w:lang w:val="es-ES"/>
              </w:rPr>
              <w:instrText xml:space="preserve"> HYPERLINK "https://unicef-my.sharepoint.com/:p:/g/personal/hlaurenge_unicef_org1/EQMe_nEDEpRPgRuB0kemulABbNiJBm7RnLkQc_0s</w:instrText>
            </w:r>
            <w:r w:rsidR="00A07D20" w:rsidRPr="00A07D20">
              <w:rPr>
                <w:lang w:val="es-ES"/>
              </w:rPr>
              <w:instrText xml:space="preserve">hIt7XQ?e=anMhhY" </w:instrText>
            </w:r>
            <w:r w:rsidR="00A07D20">
              <w:fldChar w:fldCharType="separate"/>
            </w:r>
            <w:r w:rsidRPr="00D714C1">
              <w:rPr>
                <w:rStyle w:val="Hyperlink"/>
                <w:rFonts w:eastAsia="Microsoft YaHei UI"/>
                <w:lang w:val="es-CO" w:bidi="es-CO"/>
              </w:rPr>
              <w:t xml:space="preserve">aplicación de </w:t>
            </w:r>
            <w:r w:rsidR="00B316FF">
              <w:rPr>
                <w:rStyle w:val="Hyperlink"/>
                <w:rFonts w:eastAsia="Microsoft YaHei UI"/>
                <w:lang w:val="es-CO" w:bidi="es-CO"/>
              </w:rPr>
              <w:t>educación en el riesgo de artefactos explosivos</w:t>
            </w:r>
            <w:r w:rsidRPr="00D714C1">
              <w:rPr>
                <w:rStyle w:val="Hyperlink"/>
                <w:rFonts w:eastAsia="Microsoft YaHei UI"/>
                <w:lang w:val="es-CO" w:bidi="es-CO"/>
              </w:rPr>
              <w:t xml:space="preserve"> de Birmania</w:t>
            </w:r>
            <w:r w:rsidR="00A07D20">
              <w:rPr>
                <w:rStyle w:val="Hyperlink"/>
                <w:rFonts w:eastAsia="Microsoft YaHei UI"/>
                <w:lang w:val="es-CO" w:bidi="es-CO"/>
              </w:rPr>
              <w:fldChar w:fldCharType="end"/>
            </w:r>
            <w:r w:rsidRPr="00D714C1">
              <w:rPr>
                <w:rFonts w:eastAsia="Microsoft YaHei UI"/>
                <w:lang w:val="es-CO" w:bidi="es-CO"/>
              </w:rPr>
              <w:t xml:space="preserve"> se comparte a menudo a través de Zapya en áreas sin acceso a interno/wifi. Todos los mensajes de </w:t>
            </w:r>
            <w:r w:rsidR="00B316FF">
              <w:rPr>
                <w:rFonts w:eastAsia="Microsoft YaHei UI"/>
                <w:lang w:val="es-CO" w:bidi="es-CO"/>
              </w:rPr>
              <w:t>educación en el riesgo de artefactos explosivos</w:t>
            </w:r>
            <w:r w:rsidRPr="00D714C1">
              <w:rPr>
                <w:rFonts w:eastAsia="Microsoft YaHei UI"/>
                <w:lang w:val="es-CO" w:bidi="es-CO"/>
              </w:rPr>
              <w:t xml:space="preserve"> de esa aplicación se pueden ver sin conexión.</w:t>
            </w:r>
          </w:p>
          <w:p w14:paraId="1FA216DF" w14:textId="40CBB36D" w:rsidR="006D70C8" w:rsidRPr="00D714C1" w:rsidRDefault="006D70C8" w:rsidP="00F46BF9">
            <w:pPr>
              <w:pStyle w:val="ListParagraph"/>
              <w:numPr>
                <w:ilvl w:val="0"/>
                <w:numId w:val="24"/>
              </w:numPr>
              <w:spacing w:line="259" w:lineRule="auto"/>
              <w:jc w:val="left"/>
              <w:rPr>
                <w:rFonts w:eastAsia="Microsoft YaHei UI"/>
                <w:lang w:val="es-CO" w:eastAsia="en-GB"/>
              </w:rPr>
            </w:pPr>
            <w:r w:rsidRPr="00D714C1">
              <w:rPr>
                <w:rFonts w:eastAsia="Microsoft YaHei UI"/>
                <w:lang w:val="es-CO" w:bidi="es-CO"/>
              </w:rPr>
              <w:t xml:space="preserve">El uso de dispositivos digitales que no requieren datos móviles, es decir, el </w:t>
            </w:r>
            <w:r w:rsidR="00A07D20">
              <w:fldChar w:fldCharType="begin"/>
            </w:r>
            <w:r w:rsidR="00A07D20" w:rsidRPr="00A07D20">
              <w:rPr>
                <w:lang w:val="es-ES"/>
              </w:rPr>
              <w:instrText xml:space="preserve"> HYPERLINK "https://unicef-my.sharepoint.com/:p:/g/personal/hlaurenge_unicef_org1/EavVRfA5UwFAqqPu2xtP1EcBU-WPEP0RDNOHXcfepMnSrw?e=1clPQQ" </w:instrText>
            </w:r>
            <w:r w:rsidR="00A07D20">
              <w:fldChar w:fldCharType="separate"/>
            </w:r>
            <w:r w:rsidRPr="00D714C1">
              <w:rPr>
                <w:rStyle w:val="Hyperlink"/>
                <w:rFonts w:eastAsia="Microsoft YaHei UI"/>
                <w:lang w:val="es-CO" w:bidi="es-CO"/>
              </w:rPr>
              <w:t>Dispositivo de Comunicación de Educación de Riesgos</w:t>
            </w:r>
            <w:r w:rsidR="00A07D20">
              <w:rPr>
                <w:rStyle w:val="Hyperlink"/>
                <w:rFonts w:eastAsia="Microsoft YaHei UI"/>
                <w:lang w:val="es-CO" w:bidi="es-CO"/>
              </w:rPr>
              <w:fldChar w:fldCharType="end"/>
            </w:r>
            <w:r w:rsidRPr="00D714C1">
              <w:rPr>
                <w:rFonts w:eastAsia="Microsoft YaHei UI"/>
                <w:lang w:val="es-CO" w:bidi="es-CO"/>
              </w:rPr>
              <w:t xml:space="preserve"> que funciona con energía solar y está en prueba piloto en Darfur.</w:t>
            </w:r>
          </w:p>
          <w:p w14:paraId="53BC6ED5" w14:textId="784F9EED" w:rsidR="006D70C8" w:rsidRPr="00D714C1" w:rsidRDefault="006D70C8" w:rsidP="47F14592">
            <w:pPr>
              <w:pStyle w:val="ListParagraph"/>
              <w:numPr>
                <w:ilvl w:val="0"/>
                <w:numId w:val="24"/>
              </w:numPr>
              <w:spacing w:line="259" w:lineRule="auto"/>
              <w:jc w:val="left"/>
              <w:rPr>
                <w:rFonts w:eastAsia="Microsoft YaHei UI"/>
                <w:lang w:val="es-CO" w:eastAsia="en-GB"/>
              </w:rPr>
            </w:pPr>
            <w:r w:rsidRPr="00D714C1">
              <w:rPr>
                <w:rFonts w:eastAsia="Microsoft YaHei UI"/>
                <w:lang w:val="es-CO" w:bidi="es-CO"/>
              </w:rPr>
              <w:t xml:space="preserve">El involucramiento y el desarrollo de capacidades de los miembros de la comunidad local (de ser posible). </w:t>
            </w:r>
            <w:r w:rsidRPr="00D714C1">
              <w:rPr>
                <w:rFonts w:eastAsia="Microsoft YaHei UI"/>
                <w:b/>
                <w:lang w:val="es-CO" w:bidi="es-CO"/>
              </w:rPr>
              <w:t>Las redes comunitarias</w:t>
            </w:r>
            <w:r w:rsidRPr="00D714C1">
              <w:rPr>
                <w:rFonts w:eastAsia="Microsoft YaHei UI"/>
                <w:lang w:val="es-CO" w:bidi="es-CO"/>
              </w:rPr>
              <w:t xml:space="preserve"> pueden ser buenos recursos para la movilización en tiempos de crisis. Muchas organizaciones ya cuentan con una red de focos de atención comunitarios y vínculos estrechos con los habitantes de los pueblos en muchos países. En Irak, por ejemplo, los voluntarios preparados en educación de riesgos ubicados en las comunidades (adultos) y los jóvenes embajadores de educación de riesgos se están movilizando por la respuesta a la emergencia.</w:t>
            </w:r>
          </w:p>
          <w:p w14:paraId="02A2D205" w14:textId="126C4245" w:rsidR="006D70C8" w:rsidRPr="00D714C1" w:rsidRDefault="006D70C8" w:rsidP="47F14592">
            <w:pPr>
              <w:spacing w:line="259" w:lineRule="auto"/>
              <w:jc w:val="left"/>
              <w:rPr>
                <w:rFonts w:eastAsia="Microsoft YaHei UI"/>
                <w:lang w:val="es-CO" w:eastAsia="en-GB"/>
              </w:rPr>
            </w:pPr>
            <w:r w:rsidRPr="00D714C1">
              <w:rPr>
                <w:rFonts w:eastAsia="Microsoft YaHei UI"/>
                <w:lang w:val="es-CO" w:bidi="es-CO"/>
              </w:rPr>
              <w:t xml:space="preserve">Incluso en los focos de atención comunitarios en los que no hay teléfonos inteligentes, usualmente se les puede contactar por </w:t>
            </w:r>
            <w:r w:rsidRPr="00D714C1">
              <w:rPr>
                <w:rFonts w:eastAsia="Microsoft YaHei UI"/>
                <w:b/>
                <w:lang w:val="es-CO" w:bidi="es-CO"/>
              </w:rPr>
              <w:t>mensaje de texto o llamada telefónica</w:t>
            </w:r>
            <w:r w:rsidRPr="00D714C1">
              <w:rPr>
                <w:rFonts w:eastAsia="Microsoft YaHei UI"/>
                <w:lang w:val="es-CO" w:bidi="es-CO"/>
              </w:rPr>
              <w:t xml:space="preserve"> en la mayoría de los casos, a fin de garantizar que entiendan los mensajes clave y cómo transmitirlos de manera segura a la comunidad. De ser apropiado y viable, también se pueden discutir los mitos para disminuir los malentendidos y el rechazo de los mensajes/consejos. </w:t>
            </w:r>
          </w:p>
          <w:p w14:paraId="75559D73" w14:textId="05134DE9" w:rsidR="006D70C8" w:rsidRPr="00D714C1" w:rsidRDefault="006D70C8" w:rsidP="4F43A638">
            <w:pPr>
              <w:spacing w:line="259" w:lineRule="auto"/>
              <w:jc w:val="left"/>
              <w:rPr>
                <w:rFonts w:eastAsia="Microsoft YaHei UI"/>
                <w:lang w:val="es-CO" w:eastAsia="en-GB"/>
              </w:rPr>
            </w:pPr>
            <w:r w:rsidRPr="00D714C1">
              <w:rPr>
                <w:rFonts w:eastAsia="Microsoft YaHei UI"/>
                <w:b/>
                <w:lang w:val="es-CO" w:bidi="es-CO"/>
              </w:rPr>
              <w:t>Las giras</w:t>
            </w:r>
            <w:r w:rsidRPr="00D714C1">
              <w:rPr>
                <w:rFonts w:eastAsia="Microsoft YaHei UI"/>
                <w:lang w:val="es-CO" w:bidi="es-CO"/>
              </w:rPr>
              <w:t xml:space="preserve"> son otra opción. En Irak pegaron afiches en los camiones de distribución de bombonas de gas doméstico y los conductores recibieron una presentación y una breve capacitación de </w:t>
            </w:r>
            <w:r w:rsidR="00B316FF">
              <w:rPr>
                <w:rFonts w:eastAsia="Microsoft YaHei UI"/>
                <w:lang w:val="es-CO" w:bidi="es-CO"/>
              </w:rPr>
              <w:t>educación en el riesgo de artefactos explosivos</w:t>
            </w:r>
            <w:r w:rsidRPr="00D714C1">
              <w:rPr>
                <w:rFonts w:eastAsia="Microsoft YaHei UI"/>
                <w:lang w:val="es-CO" w:bidi="es-CO"/>
              </w:rPr>
              <w:t xml:space="preserve">, que se les exhorta a difundir. Desde el inicio de la respuesta a la COVID-19 se ha actualizado la capacitación para que incluya las medidas de seguridad contra la COVID-19. También se les ha dictado capacitación de </w:t>
            </w:r>
            <w:r w:rsidR="00B316FF">
              <w:rPr>
                <w:rFonts w:eastAsia="Microsoft YaHei UI"/>
                <w:lang w:val="es-CO" w:bidi="es-CO"/>
              </w:rPr>
              <w:t>educación en el riesgo de artefactos explosivos</w:t>
            </w:r>
            <w:r w:rsidRPr="00D714C1">
              <w:rPr>
                <w:rFonts w:eastAsia="Microsoft YaHei UI"/>
                <w:lang w:val="es-CO" w:bidi="es-CO"/>
              </w:rPr>
              <w:t xml:space="preserve"> a los repartidores que utilizan escúteres y se les entregan altavoces para que difundan los mensajes.</w:t>
            </w:r>
          </w:p>
          <w:p w14:paraId="47CEFCFA" w14:textId="3D61DFF5" w:rsidR="006D70C8" w:rsidRPr="00D714C1" w:rsidRDefault="006D70C8" w:rsidP="098937A5">
            <w:pPr>
              <w:spacing w:line="259" w:lineRule="auto"/>
              <w:jc w:val="left"/>
              <w:rPr>
                <w:rFonts w:eastAsia="Microsoft YaHei UI"/>
                <w:lang w:val="es-CO" w:eastAsia="en-GB"/>
              </w:rPr>
            </w:pPr>
            <w:r w:rsidRPr="00D714C1">
              <w:rPr>
                <w:rFonts w:eastAsia="Microsoft YaHei UI"/>
                <w:lang w:val="es-CO" w:bidi="es-CO"/>
              </w:rPr>
              <w:t xml:space="preserve">También se pueden usar los </w:t>
            </w:r>
            <w:r w:rsidRPr="00D714C1">
              <w:rPr>
                <w:rFonts w:eastAsia="Microsoft YaHei UI"/>
                <w:b/>
                <w:lang w:val="es-CO" w:bidi="es-CO"/>
              </w:rPr>
              <w:t>medios de comunicación masivos y pequeños</w:t>
            </w:r>
            <w:r w:rsidRPr="00D714C1">
              <w:rPr>
                <w:rFonts w:eastAsia="Microsoft YaHei UI"/>
                <w:lang w:val="es-CO" w:bidi="es-CO"/>
              </w:rPr>
              <w:t xml:space="preserve"> para llegar a las poblaciones en riesgo que no tienen conexión a internet. En Irak, donde todos los alumnos están en casa viendo el canal educativo, el canal aceptó transmitir anuncios de educación de riesgos de 4-5 minutos. Se instalaron pantallas gigantes en los campos de PID para desplegar mensajes de </w:t>
            </w:r>
            <w:r w:rsidR="00B316FF">
              <w:rPr>
                <w:rFonts w:eastAsia="Microsoft YaHei UI"/>
                <w:lang w:val="es-CO" w:bidi="es-CO"/>
              </w:rPr>
              <w:t>educación en el riesgo de artefactos explosivos</w:t>
            </w:r>
            <w:r w:rsidRPr="00D714C1">
              <w:rPr>
                <w:rFonts w:eastAsia="Microsoft YaHei UI"/>
                <w:lang w:val="es-CO" w:bidi="es-CO"/>
              </w:rPr>
              <w:t xml:space="preserve"> (y se actualizaron para que incluyan mensajes de salud). También se pueden usar los medios impresos (periódicos de circulación diaria o semanal, revistas, etc.) y la radio.</w:t>
            </w:r>
          </w:p>
          <w:p w14:paraId="28BABE21" w14:textId="77777777" w:rsidR="00E27C59" w:rsidRPr="00D714C1" w:rsidRDefault="00E27C59" w:rsidP="098937A5">
            <w:pPr>
              <w:spacing w:line="259" w:lineRule="auto"/>
              <w:jc w:val="left"/>
              <w:rPr>
                <w:rFonts w:eastAsia="Microsoft YaHei UI"/>
                <w:lang w:val="es-CO" w:eastAsia="en-GB"/>
              </w:rPr>
            </w:pPr>
          </w:p>
          <w:p w14:paraId="2EBECE4B" w14:textId="77777777" w:rsidR="00E27C59" w:rsidRPr="00D714C1" w:rsidRDefault="00E27C59" w:rsidP="098937A5">
            <w:pPr>
              <w:spacing w:line="259" w:lineRule="auto"/>
              <w:jc w:val="left"/>
              <w:rPr>
                <w:rFonts w:eastAsia="Microsoft YaHei UI"/>
                <w:lang w:val="es-CO" w:eastAsia="en-GB"/>
              </w:rPr>
            </w:pPr>
          </w:p>
          <w:p w14:paraId="10751B8D" w14:textId="67545D8C" w:rsidR="00E27C59" w:rsidRPr="00D714C1" w:rsidRDefault="005F14B7" w:rsidP="098937A5">
            <w:pPr>
              <w:spacing w:line="259" w:lineRule="auto"/>
              <w:jc w:val="left"/>
              <w:rPr>
                <w:rFonts w:eastAsia="Microsoft YaHei UI"/>
                <w:lang w:val="es-CO" w:eastAsia="en-GB"/>
              </w:rPr>
            </w:pPr>
            <w:r w:rsidRPr="00D714C1">
              <w:rPr>
                <w:rFonts w:eastAsia="Microsoft YaHei UI"/>
                <w:lang w:val="es-CO" w:bidi="es-CO"/>
              </w:rPr>
              <w:t xml:space="preserve">[Pregunta para Abel </w:t>
            </w:r>
            <w:proofErr w:type="spellStart"/>
            <w:r w:rsidRPr="00D714C1">
              <w:rPr>
                <w:rFonts w:eastAsia="Microsoft YaHei UI"/>
                <w:lang w:val="es-CO" w:bidi="es-CO"/>
              </w:rPr>
              <w:t>Tesfai</w:t>
            </w:r>
            <w:proofErr w:type="spellEnd"/>
            <w:r w:rsidRPr="00D714C1">
              <w:rPr>
                <w:rFonts w:eastAsia="Microsoft YaHei UI"/>
                <w:lang w:val="es-CO" w:bidi="es-CO"/>
              </w:rPr>
              <w:t>]: Se supone que el RETD debe ser de bajo costo y tener un alto nivel de reciclabilidad.</w:t>
            </w:r>
          </w:p>
        </w:tc>
        <w:tc>
          <w:tcPr>
            <w:tcW w:w="3510" w:type="dxa"/>
            <w:shd w:val="clear" w:color="auto" w:fill="FFFFFF" w:themeFill="background1"/>
          </w:tcPr>
          <w:p w14:paraId="1663A60E" w14:textId="77777777" w:rsidR="006D70C8" w:rsidRPr="00D714C1" w:rsidRDefault="006D70C8" w:rsidP="00AA37BA">
            <w:pPr>
              <w:pStyle w:val="Basic"/>
              <w:rPr>
                <w:lang w:val="es-CO"/>
              </w:rPr>
            </w:pPr>
          </w:p>
          <w:p w14:paraId="2108FE53" w14:textId="77777777" w:rsidR="00D96E78" w:rsidRPr="00D714C1" w:rsidRDefault="00D96E78" w:rsidP="00AA37BA">
            <w:pPr>
              <w:pStyle w:val="Basic"/>
              <w:rPr>
                <w:lang w:val="es-CO"/>
              </w:rPr>
            </w:pPr>
          </w:p>
          <w:p w14:paraId="4580E67A" w14:textId="77777777" w:rsidR="00D96E78" w:rsidRPr="00D714C1" w:rsidRDefault="00D96E78" w:rsidP="00AA37BA">
            <w:pPr>
              <w:pStyle w:val="Basic"/>
              <w:rPr>
                <w:lang w:val="es-CO"/>
              </w:rPr>
            </w:pPr>
          </w:p>
          <w:p w14:paraId="6B345DC5" w14:textId="77777777" w:rsidR="00D96E78" w:rsidRPr="00D714C1" w:rsidRDefault="00D96E78" w:rsidP="00AA37BA">
            <w:pPr>
              <w:pStyle w:val="Basic"/>
              <w:rPr>
                <w:lang w:val="es-CO"/>
              </w:rPr>
            </w:pPr>
          </w:p>
          <w:p w14:paraId="7F54C200" w14:textId="77777777" w:rsidR="00D96E78" w:rsidRPr="00D714C1" w:rsidRDefault="00D96E78" w:rsidP="00AA37BA">
            <w:pPr>
              <w:pStyle w:val="Basic"/>
              <w:rPr>
                <w:lang w:val="es-CO"/>
              </w:rPr>
            </w:pPr>
          </w:p>
          <w:p w14:paraId="29A1F70C" w14:textId="77777777" w:rsidR="00D96E78" w:rsidRPr="00D714C1" w:rsidRDefault="00D96E78" w:rsidP="00AA37BA">
            <w:pPr>
              <w:pStyle w:val="Basic"/>
              <w:rPr>
                <w:lang w:val="es-CO"/>
              </w:rPr>
            </w:pPr>
          </w:p>
          <w:p w14:paraId="26D04760" w14:textId="77777777" w:rsidR="00D96E78" w:rsidRPr="00D714C1" w:rsidRDefault="00D96E78" w:rsidP="00AA37BA">
            <w:pPr>
              <w:pStyle w:val="Basic"/>
              <w:rPr>
                <w:lang w:val="es-CO"/>
              </w:rPr>
            </w:pPr>
          </w:p>
          <w:p w14:paraId="347219F7" w14:textId="77777777" w:rsidR="00D96E78" w:rsidRPr="00D714C1" w:rsidRDefault="00D96E78" w:rsidP="00AA37BA">
            <w:pPr>
              <w:pStyle w:val="Basic"/>
              <w:rPr>
                <w:lang w:val="es-CO"/>
              </w:rPr>
            </w:pPr>
          </w:p>
          <w:p w14:paraId="73D39FD0" w14:textId="77777777" w:rsidR="00D96E78" w:rsidRPr="00D714C1" w:rsidRDefault="00D96E78" w:rsidP="00AA37BA">
            <w:pPr>
              <w:pStyle w:val="Basic"/>
              <w:rPr>
                <w:lang w:val="es-CO"/>
              </w:rPr>
            </w:pPr>
          </w:p>
          <w:p w14:paraId="54A483A9" w14:textId="77777777" w:rsidR="00D96E78" w:rsidRPr="00D714C1" w:rsidRDefault="00D96E78" w:rsidP="00AA37BA">
            <w:pPr>
              <w:pStyle w:val="Basic"/>
              <w:rPr>
                <w:lang w:val="es-CO"/>
              </w:rPr>
            </w:pPr>
          </w:p>
          <w:p w14:paraId="499DE24E" w14:textId="77777777" w:rsidR="00D96E78" w:rsidRPr="00D714C1" w:rsidRDefault="00D96E78" w:rsidP="00AA37BA">
            <w:pPr>
              <w:pStyle w:val="Basic"/>
              <w:rPr>
                <w:lang w:val="es-CO"/>
              </w:rPr>
            </w:pPr>
          </w:p>
          <w:p w14:paraId="1269C29A" w14:textId="77777777" w:rsidR="00D96E78" w:rsidRPr="00D714C1" w:rsidRDefault="00D96E78" w:rsidP="00AA37BA">
            <w:pPr>
              <w:pStyle w:val="Basic"/>
              <w:rPr>
                <w:lang w:val="es-CO"/>
              </w:rPr>
            </w:pPr>
          </w:p>
          <w:p w14:paraId="0CCD0AB7" w14:textId="77777777" w:rsidR="00D96E78" w:rsidRPr="00D714C1" w:rsidRDefault="00D96E78" w:rsidP="00AA37BA">
            <w:pPr>
              <w:pStyle w:val="Basic"/>
              <w:rPr>
                <w:lang w:val="es-CO"/>
              </w:rPr>
            </w:pPr>
          </w:p>
          <w:p w14:paraId="4E95BE81" w14:textId="77777777" w:rsidR="00D96E78" w:rsidRPr="00D714C1" w:rsidRDefault="00D96E78" w:rsidP="00AA37BA">
            <w:pPr>
              <w:pStyle w:val="Basic"/>
              <w:rPr>
                <w:lang w:val="es-CO"/>
              </w:rPr>
            </w:pPr>
          </w:p>
          <w:p w14:paraId="430B4674" w14:textId="77777777" w:rsidR="00D96E78" w:rsidRPr="00D714C1" w:rsidRDefault="00D96E78" w:rsidP="00AA37BA">
            <w:pPr>
              <w:pStyle w:val="Basic"/>
              <w:rPr>
                <w:lang w:val="es-CO"/>
              </w:rPr>
            </w:pPr>
          </w:p>
          <w:p w14:paraId="23F342C9" w14:textId="77777777" w:rsidR="00D96E78" w:rsidRPr="00D714C1" w:rsidRDefault="00D96E78" w:rsidP="00AA37BA">
            <w:pPr>
              <w:pStyle w:val="Basic"/>
              <w:rPr>
                <w:lang w:val="es-CO"/>
              </w:rPr>
            </w:pPr>
          </w:p>
          <w:p w14:paraId="69390044" w14:textId="77777777" w:rsidR="00D96E78" w:rsidRPr="00D714C1" w:rsidRDefault="00D96E78" w:rsidP="00AA37BA">
            <w:pPr>
              <w:pStyle w:val="Basic"/>
              <w:rPr>
                <w:lang w:val="es-CO"/>
              </w:rPr>
            </w:pPr>
          </w:p>
          <w:p w14:paraId="13B42607" w14:textId="77777777" w:rsidR="00D96E78" w:rsidRPr="00D714C1" w:rsidRDefault="00D96E78" w:rsidP="00AA37BA">
            <w:pPr>
              <w:pStyle w:val="Basic"/>
              <w:rPr>
                <w:lang w:val="es-CO"/>
              </w:rPr>
            </w:pPr>
          </w:p>
          <w:p w14:paraId="4FA9BDD8" w14:textId="77777777" w:rsidR="00D96E78" w:rsidRPr="00D714C1" w:rsidRDefault="00D96E78" w:rsidP="00AA37BA">
            <w:pPr>
              <w:pStyle w:val="Basic"/>
              <w:rPr>
                <w:lang w:val="es-CO"/>
              </w:rPr>
            </w:pPr>
          </w:p>
          <w:p w14:paraId="63487F3B" w14:textId="15D9E9A6" w:rsidR="00D96E78" w:rsidRPr="00D714C1" w:rsidRDefault="00A07D20" w:rsidP="00AA37BA">
            <w:pPr>
              <w:pStyle w:val="Basic"/>
              <w:rPr>
                <w:lang w:val="es-CO"/>
              </w:rPr>
            </w:pPr>
            <w:hyperlink r:id="rId17" w:history="1">
              <w:r w:rsidR="00E14B3C" w:rsidRPr="00D714C1">
                <w:rPr>
                  <w:rStyle w:val="Hyperlink"/>
                  <w:lang w:val="es-CO" w:bidi="es-CO"/>
                </w:rPr>
                <w:t>RETD del UNMAS</w:t>
              </w:r>
            </w:hyperlink>
          </w:p>
        </w:tc>
      </w:tr>
      <w:tr w:rsidR="006D70C8" w:rsidRPr="00A07D20" w14:paraId="06BA217A" w14:textId="4622E707" w:rsidTr="009A274A">
        <w:trPr>
          <w:cantSplit/>
        </w:trPr>
        <w:tc>
          <w:tcPr>
            <w:tcW w:w="2484" w:type="dxa"/>
            <w:shd w:val="clear" w:color="auto" w:fill="E1E9EF" w:themeFill="accent3" w:themeFillTint="33"/>
          </w:tcPr>
          <w:p w14:paraId="5CE36699" w14:textId="02B353FB" w:rsidR="006D70C8" w:rsidRPr="00D714C1" w:rsidRDefault="006D70C8" w:rsidP="00AA37BA">
            <w:pPr>
              <w:pStyle w:val="Bold"/>
              <w:rPr>
                <w:lang w:val="es-CO"/>
              </w:rPr>
            </w:pPr>
            <w:r w:rsidRPr="00D714C1">
              <w:rPr>
                <w:lang w:val="es-CO" w:bidi="es-CO"/>
              </w:rPr>
              <w:lastRenderedPageBreak/>
              <w:t>¿Qué se puede hacer en las áreas urbanas?</w:t>
            </w:r>
          </w:p>
        </w:tc>
        <w:tc>
          <w:tcPr>
            <w:tcW w:w="4261" w:type="dxa"/>
          </w:tcPr>
          <w:p w14:paraId="1AE3DF50" w14:textId="25DA70E0" w:rsidR="006D70C8" w:rsidRPr="00D714C1" w:rsidRDefault="008E7AE8" w:rsidP="00AA37BA">
            <w:pPr>
              <w:pStyle w:val="BulletinTable"/>
              <w:rPr>
                <w:lang w:val="es-CO"/>
              </w:rPr>
            </w:pPr>
            <w:r w:rsidRPr="00D714C1">
              <w:rPr>
                <w:lang w:val="es-CO" w:bidi="es-CO"/>
              </w:rPr>
              <w:t>Quisiera saber cuáles son las acciones o la modalidad para las áreas que no son campamentos/ áreas rurales.</w:t>
            </w:r>
          </w:p>
        </w:tc>
        <w:tc>
          <w:tcPr>
            <w:tcW w:w="11340" w:type="dxa"/>
            <w:shd w:val="clear" w:color="auto" w:fill="E1E9EF" w:themeFill="accent3" w:themeFillTint="33"/>
          </w:tcPr>
          <w:p w14:paraId="5B2A743D" w14:textId="7F8C43EE" w:rsidR="006D70C8" w:rsidRPr="00D714C1" w:rsidRDefault="006D70C8" w:rsidP="4F43A638">
            <w:pPr>
              <w:pStyle w:val="BulletinTable"/>
              <w:numPr>
                <w:ilvl w:val="0"/>
                <w:numId w:val="0"/>
              </w:numPr>
              <w:rPr>
                <w:lang w:val="es-CO"/>
              </w:rPr>
            </w:pPr>
            <w:r w:rsidRPr="00D714C1">
              <w:rPr>
                <w:lang w:val="es-CO" w:bidi="es-CO"/>
              </w:rPr>
              <w:t>Los contextos urbanos tienen sus ventajas, ya que un mayor número de personas tiene celulares/teléfonos inteligentes y acceso a los medios de comunicación y medios digitales. Para las reuniones en persona que dependen del nivel de contaminación/riesgo de contagio de la COVID-19, la densidad de población dificultará la organización de reuniones públicas. Sin embargo, se puede usar un vehículo/moto con altavoz para apoyar las campañas de salud pública. Se pueden transmitir mensajes impresos/etiquetas y trabajar con un sistema de distribución de bienes comunes distribuidos a las casas, hogares, etc. (con la importante advertencia de que antes de distribuirlos se deben limpiar esos documentos con un trapo húmedo y un aerosol regular de limpieza doméstica con desinfectante).</w:t>
            </w:r>
          </w:p>
        </w:tc>
        <w:tc>
          <w:tcPr>
            <w:tcW w:w="3510" w:type="dxa"/>
            <w:shd w:val="clear" w:color="auto" w:fill="FFFFFF" w:themeFill="background1"/>
          </w:tcPr>
          <w:p w14:paraId="4405C791" w14:textId="77777777" w:rsidR="006D70C8" w:rsidRPr="00D714C1" w:rsidRDefault="006D70C8" w:rsidP="00AA37BA">
            <w:pPr>
              <w:pStyle w:val="Basic"/>
              <w:rPr>
                <w:lang w:val="es-CO"/>
              </w:rPr>
            </w:pPr>
          </w:p>
        </w:tc>
      </w:tr>
    </w:tbl>
    <w:p w14:paraId="4F9D99C6" w14:textId="77777777" w:rsidR="001B0F08" w:rsidRPr="00D714C1" w:rsidRDefault="001B0F08" w:rsidP="004E52E7">
      <w:pPr>
        <w:pStyle w:val="Heading1"/>
        <w:jc w:val="left"/>
        <w:rPr>
          <w:lang w:val="es-CO"/>
        </w:rPr>
      </w:pPr>
      <w:r w:rsidRPr="00D714C1">
        <w:rPr>
          <w:lang w:val="es-CO" w:bidi="es-CO"/>
        </w:rPr>
        <w:br w:type="page"/>
      </w:r>
    </w:p>
    <w:p w14:paraId="42EFFC7F" w14:textId="3496CE89" w:rsidR="00575B74" w:rsidRPr="00D714C1" w:rsidRDefault="00575B74" w:rsidP="004E52E7">
      <w:pPr>
        <w:pStyle w:val="Heading1"/>
        <w:jc w:val="left"/>
        <w:rPr>
          <w:lang w:val="es-CO"/>
        </w:rPr>
      </w:pPr>
      <w:bookmarkStart w:id="3" w:name="_Toc44425355"/>
      <w:r w:rsidRPr="00D714C1">
        <w:rPr>
          <w:lang w:val="es-CO" w:bidi="es-CO"/>
        </w:rPr>
        <w:lastRenderedPageBreak/>
        <w:t>Recomendaciones de salud al impartir educación de riesgos en persona</w:t>
      </w:r>
      <w:bookmarkEnd w:id="3"/>
    </w:p>
    <w:tbl>
      <w:tblPr>
        <w:tblStyle w:val="TableGrid"/>
        <w:tblW w:w="21595" w:type="dxa"/>
        <w:tblInd w:w="0" w:type="dxa"/>
        <w:tblLayout w:type="fixed"/>
        <w:tblCellMar>
          <w:top w:w="57" w:type="dxa"/>
          <w:bottom w:w="57" w:type="dxa"/>
        </w:tblCellMar>
        <w:tblLook w:val="04A0" w:firstRow="1" w:lastRow="0" w:firstColumn="1" w:lastColumn="0" w:noHBand="0" w:noVBand="1"/>
      </w:tblPr>
      <w:tblGrid>
        <w:gridCol w:w="2605"/>
        <w:gridCol w:w="4140"/>
        <w:gridCol w:w="11340"/>
        <w:gridCol w:w="3510"/>
      </w:tblGrid>
      <w:tr w:rsidR="00EB0FD7" w:rsidRPr="00D714C1" w14:paraId="11260088" w14:textId="49143501" w:rsidTr="002C2F4E">
        <w:trPr>
          <w:cantSplit/>
          <w:tblHeader/>
        </w:trPr>
        <w:tc>
          <w:tcPr>
            <w:tcW w:w="2605" w:type="dxa"/>
            <w:shd w:val="clear" w:color="auto" w:fill="6D96B3" w:themeFill="accent3"/>
          </w:tcPr>
          <w:p w14:paraId="00C5D3AE" w14:textId="77777777" w:rsidR="00EB0FD7" w:rsidRPr="00D714C1" w:rsidRDefault="00EB0FD7" w:rsidP="00CE240B">
            <w:pPr>
              <w:pStyle w:val="NoSpacing"/>
              <w:rPr>
                <w:b/>
                <w:bCs/>
                <w:color w:val="FFFFFF" w:themeColor="background1"/>
                <w:lang w:val="es-CO"/>
              </w:rPr>
            </w:pPr>
            <w:r w:rsidRPr="00D714C1">
              <w:rPr>
                <w:b/>
                <w:color w:val="FFFFFF" w:themeColor="background1"/>
                <w:lang w:val="es-CO" w:bidi="es-CO"/>
              </w:rPr>
              <w:t>Pregunta general</w:t>
            </w:r>
          </w:p>
        </w:tc>
        <w:tc>
          <w:tcPr>
            <w:tcW w:w="4140" w:type="dxa"/>
            <w:shd w:val="clear" w:color="auto" w:fill="6D96B3" w:themeFill="accent3"/>
          </w:tcPr>
          <w:p w14:paraId="4056752E" w14:textId="77777777" w:rsidR="00EB0FD7" w:rsidRPr="00D714C1" w:rsidRDefault="00EB0FD7" w:rsidP="00CE240B">
            <w:pPr>
              <w:pStyle w:val="NoSpacing"/>
              <w:rPr>
                <w:b/>
                <w:bCs/>
                <w:color w:val="FFFFFF" w:themeColor="background1"/>
                <w:lang w:val="es-CO"/>
              </w:rPr>
            </w:pPr>
            <w:r w:rsidRPr="00D714C1">
              <w:rPr>
                <w:b/>
                <w:color w:val="FFFFFF" w:themeColor="background1"/>
                <w:lang w:val="es-CO" w:bidi="es-CO"/>
              </w:rPr>
              <w:t>Preguntas recibidas</w:t>
            </w:r>
          </w:p>
        </w:tc>
        <w:tc>
          <w:tcPr>
            <w:tcW w:w="11340" w:type="dxa"/>
            <w:shd w:val="clear" w:color="auto" w:fill="6D96B3" w:themeFill="accent3"/>
          </w:tcPr>
          <w:p w14:paraId="027D0499" w14:textId="66CA41A1" w:rsidR="00EB0FD7" w:rsidRPr="00D714C1" w:rsidRDefault="00EB0FD7" w:rsidP="00CE240B">
            <w:pPr>
              <w:pStyle w:val="NoSpacing"/>
              <w:rPr>
                <w:b/>
                <w:bCs/>
                <w:color w:val="FFFFFF" w:themeColor="background1"/>
                <w:lang w:val="es-CO"/>
              </w:rPr>
            </w:pPr>
            <w:r w:rsidRPr="00D714C1">
              <w:rPr>
                <w:b/>
                <w:color w:val="FFFFFF" w:themeColor="background1"/>
                <w:lang w:val="es-CO" w:bidi="es-CO"/>
              </w:rPr>
              <w:t>Respuesta</w:t>
            </w:r>
          </w:p>
        </w:tc>
        <w:tc>
          <w:tcPr>
            <w:tcW w:w="3510" w:type="dxa"/>
            <w:shd w:val="clear" w:color="auto" w:fill="6D96B3" w:themeFill="accent3"/>
          </w:tcPr>
          <w:p w14:paraId="27423212" w14:textId="370E96DE" w:rsidR="00EB0FD7" w:rsidRPr="00D714C1" w:rsidRDefault="00EB0FD7" w:rsidP="00CE240B">
            <w:pPr>
              <w:pStyle w:val="NoSpacing"/>
              <w:rPr>
                <w:b/>
                <w:bCs/>
                <w:color w:val="FFFFFF" w:themeColor="background1"/>
                <w:lang w:val="es-CO"/>
              </w:rPr>
            </w:pPr>
            <w:r w:rsidRPr="00D714C1">
              <w:rPr>
                <w:b/>
                <w:color w:val="FFFFFF" w:themeColor="background1"/>
                <w:lang w:val="es-CO" w:bidi="es-CO"/>
              </w:rPr>
              <w:t>Guía</w:t>
            </w:r>
          </w:p>
        </w:tc>
      </w:tr>
      <w:tr w:rsidR="00EB0FD7" w:rsidRPr="00A07D20" w14:paraId="56B93280" w14:textId="318793B0" w:rsidTr="002C2F4E">
        <w:trPr>
          <w:cantSplit/>
        </w:trPr>
        <w:tc>
          <w:tcPr>
            <w:tcW w:w="2605" w:type="dxa"/>
            <w:shd w:val="clear" w:color="auto" w:fill="E1E9EF" w:themeFill="accent3" w:themeFillTint="33"/>
          </w:tcPr>
          <w:p w14:paraId="79EF158E" w14:textId="49036F03" w:rsidR="00EB0FD7" w:rsidRPr="00D714C1" w:rsidRDefault="00EB0FD7" w:rsidP="00486CE9">
            <w:pPr>
              <w:pStyle w:val="Bold"/>
              <w:rPr>
                <w:lang w:val="es-CO"/>
              </w:rPr>
            </w:pPr>
            <w:r w:rsidRPr="00D714C1">
              <w:rPr>
                <w:lang w:val="es-CO" w:bidi="es-CO"/>
              </w:rPr>
              <w:t>¿Qué orientación tiene disponible el sector de la salud para las operaciones humanitarias?</w:t>
            </w:r>
          </w:p>
        </w:tc>
        <w:tc>
          <w:tcPr>
            <w:tcW w:w="4140" w:type="dxa"/>
          </w:tcPr>
          <w:p w14:paraId="2A94C204" w14:textId="643749E0" w:rsidR="00EB0FD7" w:rsidRPr="00D714C1" w:rsidRDefault="00EB0FD7" w:rsidP="00486CE9">
            <w:pPr>
              <w:pStyle w:val="BulletinTable"/>
              <w:rPr>
                <w:lang w:val="es-CO"/>
              </w:rPr>
            </w:pPr>
            <w:r w:rsidRPr="00D714C1">
              <w:rPr>
                <w:lang w:val="es-CO" w:bidi="es-CO"/>
              </w:rPr>
              <w:t>¿Ha elaborado/publicado la OMS o UNOCHA algún tipo de recomendación de protocolos de seguridad para las operaciones humanitarias permanentes?</w:t>
            </w:r>
          </w:p>
        </w:tc>
        <w:tc>
          <w:tcPr>
            <w:tcW w:w="11340" w:type="dxa"/>
            <w:shd w:val="clear" w:color="auto" w:fill="E1E9EF" w:themeFill="accent3" w:themeFillTint="33"/>
          </w:tcPr>
          <w:p w14:paraId="6BBD42D1" w14:textId="2C5CF364" w:rsidR="00EB0FD7" w:rsidRPr="00D714C1" w:rsidRDefault="00EB0FD7" w:rsidP="47F14592">
            <w:pPr>
              <w:spacing w:line="259" w:lineRule="auto"/>
              <w:jc w:val="left"/>
              <w:rPr>
                <w:lang w:val="es-CO"/>
              </w:rPr>
            </w:pPr>
            <w:r w:rsidRPr="00D714C1">
              <w:rPr>
                <w:lang w:val="es-CO" w:bidi="es-CO"/>
              </w:rPr>
              <w:t xml:space="preserve">Se armó una biblioteca de recursos para los profesionales de la </w:t>
            </w:r>
            <w:r w:rsidR="00B316FF">
              <w:rPr>
                <w:lang w:val="es-CO" w:bidi="es-CO"/>
              </w:rPr>
              <w:t>educación en el riesgo de artefactos explosivos</w:t>
            </w:r>
            <w:r w:rsidRPr="00D714C1">
              <w:rPr>
                <w:lang w:val="es-CO" w:bidi="es-CO"/>
              </w:rPr>
              <w:t xml:space="preserve">, con una orientación, que incluye desde el sector de la salud y otros sectores (OMS, FICR, CDC, UNICEF (salud/lavado), Salud Mental y Apoyo Psicosocial (MHPSS, por sus siglas en inglés), Oficina para la Coordinación de Asuntos Humanitarios/Comité Permanente </w:t>
            </w:r>
            <w:proofErr w:type="spellStart"/>
            <w:r w:rsidRPr="00D714C1">
              <w:rPr>
                <w:lang w:val="es-CO" w:bidi="es-CO"/>
              </w:rPr>
              <w:t>Interagencial</w:t>
            </w:r>
            <w:proofErr w:type="spellEnd"/>
            <w:r w:rsidRPr="00D714C1">
              <w:rPr>
                <w:lang w:val="es-CO" w:bidi="es-CO"/>
              </w:rPr>
              <w:t xml:space="preserve"> (OCHA/IASC, por sus siglas en inglés), Oficina del ACNUDH, Grupo Temático Mundial de Protección, Protección de la Infancia, Violencia de Género (GBV, por sus siglas en inglés), Comunicación para el Desarrollo (C4D, por sus siglas en inglés), etc.</w:t>
            </w:r>
          </w:p>
        </w:tc>
        <w:tc>
          <w:tcPr>
            <w:tcW w:w="3510" w:type="dxa"/>
            <w:shd w:val="clear" w:color="auto" w:fill="FFFFFF" w:themeFill="background1"/>
          </w:tcPr>
          <w:p w14:paraId="393994CA" w14:textId="569DD492" w:rsidR="00EB0FD7" w:rsidRPr="00D714C1" w:rsidRDefault="00A07D20">
            <w:pPr>
              <w:spacing w:line="259" w:lineRule="auto"/>
              <w:jc w:val="left"/>
              <w:rPr>
                <w:lang w:val="es-CO"/>
              </w:rPr>
            </w:pPr>
            <w:r>
              <w:fldChar w:fldCharType="begin"/>
            </w:r>
            <w:r w:rsidRPr="00A07D20">
              <w:rPr>
                <w:lang w:val="es-ES"/>
              </w:rPr>
              <w:instrText xml:space="preserve"> HYPERLINK "https://unicef-my.sharepoint.com/:f:/g/personal/hlaurenge_unicef_org1/EqdE3V2BFFBOoGw0_o0CnxkBeXYBJuR9ZJELsaunKZfaLw?e=twRt43" </w:instrText>
            </w:r>
            <w:r>
              <w:fldChar w:fldCharType="separate"/>
            </w:r>
            <w:r w:rsidR="00EB0FD7" w:rsidRPr="00D714C1">
              <w:rPr>
                <w:rStyle w:val="Hyperlink"/>
                <w:lang w:val="es-CO" w:bidi="es-CO"/>
              </w:rPr>
              <w:t xml:space="preserve">Biblioteca de recursos de </w:t>
            </w:r>
            <w:r w:rsidR="00B316FF">
              <w:rPr>
                <w:rStyle w:val="Hyperlink"/>
                <w:lang w:val="es-CO" w:bidi="es-CO"/>
              </w:rPr>
              <w:t>educación en el riesgo de artefactos explosivos</w:t>
            </w:r>
            <w:r w:rsidR="00EB0FD7" w:rsidRPr="00D714C1">
              <w:rPr>
                <w:rStyle w:val="Hyperlink"/>
                <w:lang w:val="es-CO" w:bidi="es-CO"/>
              </w:rPr>
              <w:t>/COVID</w:t>
            </w:r>
            <w:r>
              <w:rPr>
                <w:rStyle w:val="Hyperlink"/>
                <w:lang w:val="es-CO" w:bidi="es-CO"/>
              </w:rPr>
              <w:fldChar w:fldCharType="end"/>
            </w:r>
          </w:p>
        </w:tc>
      </w:tr>
      <w:tr w:rsidR="00EB0FD7" w:rsidRPr="00A07D20" w14:paraId="604C6D9E" w14:textId="710DD8A7" w:rsidTr="002C2F4E">
        <w:trPr>
          <w:cantSplit/>
        </w:trPr>
        <w:tc>
          <w:tcPr>
            <w:tcW w:w="2605" w:type="dxa"/>
            <w:shd w:val="clear" w:color="auto" w:fill="E1E9EF" w:themeFill="accent3" w:themeFillTint="33"/>
          </w:tcPr>
          <w:p w14:paraId="19D34BF8" w14:textId="204F0593" w:rsidR="00EB0FD7" w:rsidRPr="00D714C1" w:rsidRDefault="00EB0FD7" w:rsidP="00486CE9">
            <w:pPr>
              <w:pStyle w:val="Bold"/>
              <w:rPr>
                <w:b w:val="0"/>
                <w:bCs w:val="0"/>
                <w:lang w:val="es-CO"/>
              </w:rPr>
            </w:pPr>
            <w:r w:rsidRPr="00D714C1">
              <w:rPr>
                <w:lang w:val="es-CO" w:bidi="es-CO"/>
              </w:rPr>
              <w:t>¿Qué medidas en concreto se deben implementar para no hacer daño? (p. ej., distancias y tamaños grupales recomendados)</w:t>
            </w:r>
          </w:p>
        </w:tc>
        <w:tc>
          <w:tcPr>
            <w:tcW w:w="4140" w:type="dxa"/>
          </w:tcPr>
          <w:p w14:paraId="0C397B8B" w14:textId="510E5876" w:rsidR="00EB0FD7" w:rsidRPr="00D714C1" w:rsidRDefault="00EB0FD7" w:rsidP="00486CE9">
            <w:pPr>
              <w:pStyle w:val="BulletinTable"/>
              <w:rPr>
                <w:lang w:val="es-CO"/>
              </w:rPr>
            </w:pPr>
            <w:r w:rsidRPr="00D714C1">
              <w:rPr>
                <w:lang w:val="es-CO" w:bidi="es-CO"/>
              </w:rPr>
              <w:t xml:space="preserve">Para presentación directa a las audiencias de la </w:t>
            </w:r>
            <w:r w:rsidR="00B316FF">
              <w:rPr>
                <w:lang w:val="es-CO" w:bidi="es-CO"/>
              </w:rPr>
              <w:t>educación en el riesgo de artefactos explosivos</w:t>
            </w:r>
            <w:r w:rsidRPr="00D714C1">
              <w:rPr>
                <w:lang w:val="es-CO" w:bidi="es-CO"/>
              </w:rPr>
              <w:t>, favor informarnos cuántos miembros de la audiencia pueden participar y las distancias recomendadas entre ellos.</w:t>
            </w:r>
          </w:p>
          <w:p w14:paraId="284120EC" w14:textId="612965F6" w:rsidR="00EB0FD7" w:rsidRPr="00D714C1" w:rsidRDefault="00EB0FD7" w:rsidP="00486CE9">
            <w:pPr>
              <w:tabs>
                <w:tab w:val="left" w:pos="1764"/>
              </w:tabs>
              <w:rPr>
                <w:lang w:val="es-CO"/>
              </w:rPr>
            </w:pPr>
          </w:p>
        </w:tc>
        <w:tc>
          <w:tcPr>
            <w:tcW w:w="11340" w:type="dxa"/>
            <w:shd w:val="clear" w:color="auto" w:fill="E1E9EF" w:themeFill="accent3" w:themeFillTint="33"/>
          </w:tcPr>
          <w:p w14:paraId="1EC16D74" w14:textId="279990FE" w:rsidR="00EB0FD7" w:rsidRPr="00D714C1" w:rsidRDefault="00EB0FD7" w:rsidP="00CE240B">
            <w:pPr>
              <w:spacing w:before="0" w:after="0"/>
              <w:jc w:val="left"/>
              <w:rPr>
                <w:lang w:val="es-CO"/>
              </w:rPr>
            </w:pPr>
            <w:r w:rsidRPr="00D714C1">
              <w:rPr>
                <w:lang w:val="es-CO" w:bidi="es-CO"/>
              </w:rPr>
              <w:t>Asegúrense de verificar que las actividades educativas personales estén permitidas conforme a la última política nacional/local sobre COVID y aglomeraciones. Recuerden que el tamaño permitido de los grupos deberá incluir a su personal.</w:t>
            </w:r>
          </w:p>
          <w:p w14:paraId="6EB2B712" w14:textId="51873FD0" w:rsidR="00EB0FD7" w:rsidRPr="00D714C1" w:rsidRDefault="00EB0FD7" w:rsidP="00CE240B">
            <w:pPr>
              <w:spacing w:before="0" w:after="0"/>
              <w:jc w:val="left"/>
              <w:rPr>
                <w:lang w:val="es-CO"/>
              </w:rPr>
            </w:pPr>
          </w:p>
          <w:p w14:paraId="4CA7E2C8" w14:textId="5120CE2C" w:rsidR="00EB0FD7" w:rsidRPr="00D714C1" w:rsidRDefault="407C0212" w:rsidP="00CE240B">
            <w:pPr>
              <w:spacing w:before="0" w:after="0"/>
              <w:jc w:val="left"/>
              <w:rPr>
                <w:lang w:val="es-CO"/>
              </w:rPr>
            </w:pPr>
            <w:r w:rsidRPr="00D714C1">
              <w:rPr>
                <w:lang w:val="es-CO" w:bidi="es-CO"/>
              </w:rPr>
              <w:t>Si se permiten las actividades en persona, asegúrense de que su organización cumple la política/normas de aglomeraciones y distanciamiento social.</w:t>
            </w:r>
          </w:p>
          <w:p w14:paraId="7E557A3F" w14:textId="3D2ACFB1" w:rsidR="00EB0FD7" w:rsidRPr="00D714C1" w:rsidRDefault="00EB0FD7" w:rsidP="00CE240B">
            <w:pPr>
              <w:spacing w:before="0" w:after="0"/>
              <w:jc w:val="left"/>
              <w:rPr>
                <w:lang w:val="es-CO"/>
              </w:rPr>
            </w:pPr>
          </w:p>
          <w:p w14:paraId="2E6E9C0F" w14:textId="1EFA61CF" w:rsidR="00EB0FD7" w:rsidRPr="00D714C1" w:rsidRDefault="407C0212" w:rsidP="00CE240B">
            <w:pPr>
              <w:spacing w:before="0" w:after="0"/>
              <w:jc w:val="left"/>
              <w:rPr>
                <w:lang w:val="es-CO"/>
              </w:rPr>
            </w:pPr>
            <w:r w:rsidRPr="00D714C1">
              <w:rPr>
                <w:lang w:val="es-CO" w:bidi="es-CO"/>
              </w:rPr>
              <w:t>Cada país/área y/o cada autoridad u operador de acción contra minas podrá tener una política específica para las aglomeraciones.</w:t>
            </w:r>
          </w:p>
          <w:p w14:paraId="61C1BBBF" w14:textId="1E7D905F" w:rsidR="00EB0FD7" w:rsidRPr="00D714C1" w:rsidRDefault="00EB0FD7" w:rsidP="47F14592">
            <w:pPr>
              <w:spacing w:before="0" w:after="0"/>
              <w:jc w:val="left"/>
              <w:rPr>
                <w:lang w:val="es-CO"/>
              </w:rPr>
            </w:pPr>
          </w:p>
        </w:tc>
        <w:tc>
          <w:tcPr>
            <w:tcW w:w="3510" w:type="dxa"/>
            <w:shd w:val="clear" w:color="auto" w:fill="FFFFFF" w:themeFill="background1"/>
          </w:tcPr>
          <w:p w14:paraId="36B4FD47" w14:textId="77777777" w:rsidR="00EB0FD7" w:rsidRPr="00D714C1" w:rsidRDefault="00EB0FD7" w:rsidP="00C53416">
            <w:pPr>
              <w:jc w:val="left"/>
              <w:rPr>
                <w:color w:val="0563C1"/>
                <w:u w:val="single"/>
                <w:lang w:val="es-CO"/>
              </w:rPr>
            </w:pPr>
            <w:r w:rsidRPr="00D714C1">
              <w:rPr>
                <w:color w:val="0563C1"/>
                <w:u w:val="single"/>
                <w:lang w:val="es-CO" w:bidi="es-CO"/>
              </w:rPr>
              <w:t xml:space="preserve">Guía indicativa del Centro de Control de Enfermedades: </w:t>
            </w:r>
            <w:r w:rsidR="00A07D20">
              <w:fldChar w:fldCharType="begin"/>
            </w:r>
            <w:r w:rsidR="00A07D20" w:rsidRPr="00A07D20">
              <w:rPr>
                <w:lang w:val="es-ES"/>
              </w:rPr>
              <w:instrText xml:space="preserve"> HYPERLINK "https://www.cdc.gov/coronavirus/2019-ncov/community/large-events/index.html" </w:instrText>
            </w:r>
            <w:r w:rsidR="00A07D20">
              <w:fldChar w:fldCharType="separate"/>
            </w:r>
            <w:r w:rsidRPr="00D714C1">
              <w:rPr>
                <w:rFonts w:eastAsia="Calibri"/>
                <w:color w:val="0563C1"/>
                <w:u w:val="single"/>
                <w:lang w:val="es-CO" w:bidi="es-CO"/>
              </w:rPr>
              <w:t>Recursos para grandes eventos comunitarios y congregaciones</w:t>
            </w:r>
            <w:r w:rsidR="00A07D20">
              <w:rPr>
                <w:rFonts w:eastAsia="Calibri"/>
                <w:color w:val="0563C1"/>
                <w:u w:val="single"/>
                <w:lang w:val="es-CO" w:bidi="es-CO"/>
              </w:rPr>
              <w:fldChar w:fldCharType="end"/>
            </w:r>
            <w:r w:rsidRPr="00D714C1">
              <w:rPr>
                <w:rFonts w:eastAsia="Calibri"/>
                <w:lang w:val="es-CO" w:bidi="es-CO"/>
              </w:rPr>
              <w:t xml:space="preserve"> </w:t>
            </w:r>
          </w:p>
          <w:p w14:paraId="7C94CF03" w14:textId="77777777" w:rsidR="00EB0FD7" w:rsidRPr="00D714C1" w:rsidRDefault="00EB0FD7" w:rsidP="00CE240B">
            <w:pPr>
              <w:spacing w:before="0" w:after="0"/>
              <w:jc w:val="left"/>
              <w:rPr>
                <w:lang w:val="es-CO"/>
              </w:rPr>
            </w:pPr>
          </w:p>
          <w:p w14:paraId="00E01001" w14:textId="77777777" w:rsidR="00EB0FD7" w:rsidRPr="00D714C1" w:rsidRDefault="00EB0FD7" w:rsidP="00CE240B">
            <w:pPr>
              <w:spacing w:before="0" w:after="0"/>
              <w:jc w:val="left"/>
              <w:rPr>
                <w:lang w:val="es-CO"/>
              </w:rPr>
            </w:pPr>
          </w:p>
          <w:p w14:paraId="3DA85986" w14:textId="6395CFCD" w:rsidR="00EB0FD7" w:rsidRPr="00D714C1" w:rsidRDefault="00EB0FD7" w:rsidP="00CE240B">
            <w:pPr>
              <w:spacing w:before="0" w:after="0"/>
              <w:jc w:val="left"/>
              <w:rPr>
                <w:lang w:val="es-CO"/>
              </w:rPr>
            </w:pPr>
            <w:r w:rsidRPr="00D714C1">
              <w:rPr>
                <w:lang w:val="es-CO" w:bidi="es-CO"/>
              </w:rPr>
              <w:t xml:space="preserve">MAG: Anexo de la Norma técnica global 12.10 sobre </w:t>
            </w:r>
            <w:r w:rsidR="00B316FF">
              <w:rPr>
                <w:lang w:val="es-CO" w:bidi="es-CO"/>
              </w:rPr>
              <w:t>educación en el riesgo de artefactos explosivos</w:t>
            </w:r>
            <w:r w:rsidRPr="00D714C1">
              <w:rPr>
                <w:lang w:val="es-CO" w:bidi="es-CO"/>
              </w:rPr>
              <w:t xml:space="preserve"> (por salir)</w:t>
            </w:r>
          </w:p>
          <w:p w14:paraId="72204491" w14:textId="77777777" w:rsidR="009F6A11" w:rsidRPr="00D714C1" w:rsidRDefault="009F6A11" w:rsidP="00CE240B">
            <w:pPr>
              <w:spacing w:before="0" w:after="0"/>
              <w:jc w:val="left"/>
              <w:rPr>
                <w:lang w:val="es-CO"/>
              </w:rPr>
            </w:pPr>
          </w:p>
          <w:p w14:paraId="3B3D859D" w14:textId="2D619BDB" w:rsidR="009F6A11" w:rsidRPr="00D714C1" w:rsidRDefault="009F6A11" w:rsidP="00CE240B">
            <w:pPr>
              <w:spacing w:before="0" w:after="0"/>
              <w:jc w:val="left"/>
              <w:rPr>
                <w:lang w:val="es-CO"/>
              </w:rPr>
            </w:pPr>
            <w:r w:rsidRPr="00D714C1">
              <w:rPr>
                <w:lang w:val="es-CO" w:bidi="es-CO"/>
              </w:rPr>
              <w:t xml:space="preserve">HALO: POE de </w:t>
            </w:r>
            <w:r w:rsidR="00B316FF">
              <w:rPr>
                <w:lang w:val="es-CO" w:bidi="es-CO"/>
              </w:rPr>
              <w:t>educación en el riesgo de artefactos explosivos</w:t>
            </w:r>
            <w:r w:rsidRPr="00D714C1">
              <w:rPr>
                <w:lang w:val="es-CO" w:bidi="es-CO"/>
              </w:rPr>
              <w:t xml:space="preserve"> en el contexto de COVID 12 (por salir)</w:t>
            </w:r>
          </w:p>
        </w:tc>
      </w:tr>
      <w:tr w:rsidR="00EB0FD7" w:rsidRPr="00A07D20" w14:paraId="51BD8390" w14:textId="423BB71F" w:rsidTr="002C2F4E">
        <w:trPr>
          <w:cantSplit/>
        </w:trPr>
        <w:tc>
          <w:tcPr>
            <w:tcW w:w="2605" w:type="dxa"/>
            <w:shd w:val="clear" w:color="auto" w:fill="E1E9EF" w:themeFill="accent3" w:themeFillTint="33"/>
          </w:tcPr>
          <w:p w14:paraId="3AC22E57" w14:textId="09550A65" w:rsidR="00EB0FD7" w:rsidRPr="00D714C1" w:rsidRDefault="00EB0FD7" w:rsidP="00486CE9">
            <w:pPr>
              <w:pStyle w:val="Bold"/>
              <w:rPr>
                <w:lang w:val="es-CO"/>
              </w:rPr>
            </w:pPr>
            <w:r w:rsidRPr="00D714C1">
              <w:rPr>
                <w:lang w:val="es-CO" w:bidi="es-CO"/>
              </w:rPr>
              <w:lastRenderedPageBreak/>
              <w:t>¿Qué puede propagar la COVID-19? ¿Pueden los dispositivos como las tabletas o panfletos poner a la gente en riesgo?</w:t>
            </w:r>
          </w:p>
        </w:tc>
        <w:tc>
          <w:tcPr>
            <w:tcW w:w="4140" w:type="dxa"/>
          </w:tcPr>
          <w:p w14:paraId="145A6A03" w14:textId="12831BD3" w:rsidR="00EB0FD7" w:rsidRPr="00D714C1" w:rsidRDefault="00EB0FD7" w:rsidP="00486CE9">
            <w:pPr>
              <w:pStyle w:val="BulletinTable"/>
              <w:rPr>
                <w:lang w:val="es-CO"/>
              </w:rPr>
            </w:pPr>
            <w:r w:rsidRPr="00D714C1">
              <w:rPr>
                <w:lang w:val="es-CO" w:bidi="es-CO"/>
              </w:rPr>
              <w:t>Me encanta la idea de usar dispositivos (p. ej., dispositivo de comunicación de educación de riesgos) para difundir mensajes sobre la COVID-19, pero podrían suponer otra inquietud higiénica, ya que se pasarán de una persona a otra.</w:t>
            </w:r>
          </w:p>
          <w:p w14:paraId="6BA19E5F" w14:textId="7C3B79EB" w:rsidR="00EB0FD7" w:rsidRPr="00D714C1" w:rsidRDefault="00EB0FD7" w:rsidP="00486CE9">
            <w:pPr>
              <w:pStyle w:val="BulletinTable"/>
              <w:rPr>
                <w:lang w:val="es-CO"/>
              </w:rPr>
            </w:pPr>
            <w:r w:rsidRPr="00D714C1">
              <w:rPr>
                <w:lang w:val="es-CO" w:bidi="es-CO"/>
              </w:rPr>
              <w:t>Como se observa en la presentación continua actual, ¿puede la distribución de folletos con mensajes de concienciación en la comunidad del personal a otro miembro de la comunidad provocar la propagación del virus? ¿Sería mejor usar en su lugar campañas de mensajes a distancia o en vehículos?</w:t>
            </w:r>
          </w:p>
          <w:p w14:paraId="4678A296" w14:textId="0F363643" w:rsidR="00EB0FD7" w:rsidRPr="00D714C1" w:rsidRDefault="00EB0FD7" w:rsidP="00486CE9">
            <w:pPr>
              <w:pStyle w:val="BulletinTable"/>
              <w:rPr>
                <w:lang w:val="es-CO" w:eastAsia="en-GB"/>
              </w:rPr>
            </w:pPr>
            <w:r w:rsidRPr="00D714C1">
              <w:rPr>
                <w:lang w:val="es-CO" w:bidi="es-CO"/>
              </w:rPr>
              <w:t>Aunque estamos pensando en usar medios digitales, también podríamos pensar en usar las pantallas de las tabletas para poner materiales de concienciación o pegar folletos o etiquetas en las paredes en lugares visibles para la comunidad, en lugar de distribuir materiales. ¡Es también otro posible riesgo, ya que pasarlos de mano en mano podría resultar ligeramente riesgoso! Además, todavía se requieren algunos protocolos de seguridad en el distanciamiento. ¿Se han desarrollado procedimientos estandarizados allá?</w:t>
            </w:r>
          </w:p>
        </w:tc>
        <w:tc>
          <w:tcPr>
            <w:tcW w:w="11340" w:type="dxa"/>
            <w:shd w:val="clear" w:color="auto" w:fill="E1E9EF" w:themeFill="accent3" w:themeFillTint="33"/>
          </w:tcPr>
          <w:p w14:paraId="471F7293" w14:textId="637182E8" w:rsidR="00EB0FD7" w:rsidRPr="00D714C1" w:rsidRDefault="00EB0FD7" w:rsidP="00A43E43">
            <w:pPr>
              <w:spacing w:before="0" w:after="0"/>
              <w:jc w:val="left"/>
              <w:rPr>
                <w:lang w:val="es-CO"/>
              </w:rPr>
            </w:pPr>
            <w:r w:rsidRPr="00D714C1">
              <w:rPr>
                <w:lang w:val="es-CO" w:bidi="es-CO"/>
              </w:rPr>
              <w:t>Los distintos contextos (es decir, sin propagación / propagación mínima o moderada / propagación significativa) requerirán respuestas diferentes. Busquen la última orientación de las autoridades nacionales/locales.</w:t>
            </w:r>
          </w:p>
          <w:p w14:paraId="73D583AD" w14:textId="77777777" w:rsidR="00EB0FD7" w:rsidRPr="00D714C1" w:rsidRDefault="00EB0FD7" w:rsidP="00A43E43">
            <w:pPr>
              <w:spacing w:before="0" w:after="0"/>
              <w:jc w:val="left"/>
              <w:rPr>
                <w:lang w:val="es-CO"/>
              </w:rPr>
            </w:pPr>
          </w:p>
          <w:p w14:paraId="607155B9" w14:textId="7C28DFD2" w:rsidR="00EB0FD7" w:rsidRPr="00D714C1" w:rsidRDefault="00EB0FD7" w:rsidP="00A43E43">
            <w:pPr>
              <w:spacing w:before="0" w:after="0"/>
              <w:jc w:val="left"/>
              <w:rPr>
                <w:lang w:val="es-CO"/>
              </w:rPr>
            </w:pPr>
            <w:r w:rsidRPr="00D714C1">
              <w:rPr>
                <w:lang w:val="es-CO" w:bidi="es-CO"/>
              </w:rPr>
              <w:t>“No se sabe con certeza cuánto tiempo sobrevive en las superficies el virus que causa la COVID-19, pero parece que se comporta como los otros coronavirus. Los estudios sugieren que los coronavirus (incluida la información preliminar sobre el virus que causa la COVID-19) pueden resistir en las superficies unas horas o hasta varios días. Esto puede variar en condiciones diferentes (p. ej., tipo de superficie, temperatura o humedad del ambiente).</w:t>
            </w:r>
          </w:p>
          <w:p w14:paraId="76F2905E" w14:textId="7430E4DB" w:rsidR="00EB0FD7" w:rsidRPr="00D714C1" w:rsidRDefault="00EB0FD7" w:rsidP="00A43E43">
            <w:pPr>
              <w:spacing w:before="0" w:after="0"/>
              <w:jc w:val="left"/>
              <w:rPr>
                <w:lang w:val="es-CO"/>
              </w:rPr>
            </w:pPr>
            <w:r w:rsidRPr="00D714C1">
              <w:rPr>
                <w:lang w:val="es-CO" w:bidi="es-CO"/>
              </w:rPr>
              <w:t>Si cree que una superficie puede estar infectada, límpiela con desinfectante para matar el virus y protegerse a usted y a los demás. Límpiese las manos con desinfectante para manos a base de alcohol o láveselas con agua y jabón. Evite tocarse los ojos, la boca o la nariz” (OMS).</w:t>
            </w:r>
          </w:p>
          <w:p w14:paraId="4189194D" w14:textId="4F0D3E1F" w:rsidR="00EB0FD7" w:rsidRPr="00D714C1" w:rsidRDefault="00EB0FD7" w:rsidP="47F14592">
            <w:pPr>
              <w:spacing w:before="0" w:after="0"/>
              <w:jc w:val="left"/>
              <w:rPr>
                <w:lang w:val="es-CO"/>
              </w:rPr>
            </w:pPr>
          </w:p>
          <w:p w14:paraId="704C34A9" w14:textId="37008CF3" w:rsidR="00EB0FD7" w:rsidRPr="00D714C1" w:rsidRDefault="00EB0FD7" w:rsidP="00CE240B">
            <w:pPr>
              <w:spacing w:before="0" w:after="0"/>
              <w:jc w:val="left"/>
              <w:rPr>
                <w:lang w:val="es-CO"/>
              </w:rPr>
            </w:pPr>
            <w:r w:rsidRPr="00D714C1">
              <w:rPr>
                <w:lang w:val="es-CO" w:bidi="es-CO"/>
              </w:rPr>
              <w:t>Si se confirma la propagación del virus, los operadores de educación de riesgos deben:</w:t>
            </w:r>
          </w:p>
          <w:p w14:paraId="776AA80A" w14:textId="60564515" w:rsidR="00EB0FD7" w:rsidRPr="00D714C1" w:rsidRDefault="00EB0FD7" w:rsidP="47F14592">
            <w:pPr>
              <w:spacing w:before="0" w:after="0" w:line="259" w:lineRule="auto"/>
              <w:jc w:val="left"/>
              <w:rPr>
                <w:lang w:val="es-CO"/>
              </w:rPr>
            </w:pPr>
            <w:r w:rsidRPr="00D714C1">
              <w:rPr>
                <w:lang w:val="es-CO" w:bidi="es-CO"/>
              </w:rPr>
              <w:t>“Limpiar y desinfectar con frecuencia los objetos que se hayan tocado, p. ej., (...) materiales de juego, ayudas de aprendizaje y enseñanza, con un trapo húmedo y un aerosol regular de limpieza doméstica con desinfectante” (UNICEF-WASH (acrónimo en inglés de agua, saneamiento e higiene).</w:t>
            </w:r>
          </w:p>
        </w:tc>
        <w:tc>
          <w:tcPr>
            <w:tcW w:w="3510" w:type="dxa"/>
            <w:shd w:val="clear" w:color="auto" w:fill="FFFFFF" w:themeFill="background1"/>
          </w:tcPr>
          <w:p w14:paraId="7973DDCA" w14:textId="09216260" w:rsidR="00EB0FD7" w:rsidRPr="00D714C1" w:rsidRDefault="00EB0FD7" w:rsidP="781C17F4">
            <w:pPr>
              <w:spacing w:before="0" w:after="0"/>
              <w:jc w:val="left"/>
              <w:rPr>
                <w:rStyle w:val="Hyperlink"/>
                <w:lang w:val="es-CO"/>
              </w:rPr>
            </w:pPr>
          </w:p>
          <w:p w14:paraId="295F13C6" w14:textId="16466A89" w:rsidR="00EB0FD7" w:rsidRPr="00D714C1" w:rsidRDefault="00EB0FD7" w:rsidP="781C17F4">
            <w:pPr>
              <w:spacing w:before="0" w:after="0"/>
              <w:jc w:val="left"/>
              <w:rPr>
                <w:rStyle w:val="Hyperlink"/>
                <w:lang w:val="es-CO"/>
              </w:rPr>
            </w:pPr>
          </w:p>
          <w:p w14:paraId="5A10FBB0" w14:textId="0822DC3E" w:rsidR="00EB0FD7" w:rsidRPr="00D714C1" w:rsidRDefault="00EB0FD7" w:rsidP="781C17F4">
            <w:pPr>
              <w:spacing w:before="0" w:after="0"/>
              <w:jc w:val="left"/>
              <w:rPr>
                <w:rStyle w:val="Hyperlink"/>
                <w:lang w:val="es-CO"/>
              </w:rPr>
            </w:pPr>
          </w:p>
          <w:p w14:paraId="45453C9D" w14:textId="62D2846D" w:rsidR="00EB0FD7" w:rsidRPr="00D714C1" w:rsidRDefault="00EB0FD7" w:rsidP="781C17F4">
            <w:pPr>
              <w:spacing w:before="0" w:after="0"/>
              <w:jc w:val="left"/>
              <w:rPr>
                <w:rStyle w:val="Hyperlink"/>
                <w:lang w:val="es-CO"/>
              </w:rPr>
            </w:pPr>
          </w:p>
          <w:p w14:paraId="40E16A54" w14:textId="045FD18D" w:rsidR="00EB0FD7" w:rsidRPr="00D714C1" w:rsidRDefault="00A07D20" w:rsidP="781C17F4">
            <w:pPr>
              <w:spacing w:before="0" w:after="0"/>
              <w:jc w:val="left"/>
              <w:rPr>
                <w:lang w:val="es-CO"/>
              </w:rPr>
            </w:pPr>
            <w:r>
              <w:fldChar w:fldCharType="begin"/>
            </w:r>
            <w:r w:rsidRPr="00A07D20">
              <w:rPr>
                <w:lang w:val="es-ES"/>
              </w:rPr>
              <w:instrText xml:space="preserve"> HYPERLINK "https://www.who.int/news-room/q-a-detail/q-a-coronaviruses" </w:instrText>
            </w:r>
            <w:r>
              <w:fldChar w:fldCharType="separate"/>
            </w:r>
            <w:proofErr w:type="spellStart"/>
            <w:r w:rsidR="407C0212" w:rsidRPr="00D714C1">
              <w:rPr>
                <w:rStyle w:val="Hyperlink"/>
                <w:lang w:val="es-CO" w:bidi="es-CO"/>
              </w:rPr>
              <w:t>PyR</w:t>
            </w:r>
            <w:proofErr w:type="spellEnd"/>
            <w:r w:rsidR="407C0212" w:rsidRPr="00D714C1">
              <w:rPr>
                <w:rStyle w:val="Hyperlink"/>
                <w:lang w:val="es-CO" w:bidi="es-CO"/>
              </w:rPr>
              <w:t xml:space="preserve"> de la OMS sobre los coronavirus (COVID-19)</w:t>
            </w:r>
            <w:r>
              <w:rPr>
                <w:rStyle w:val="Hyperlink"/>
                <w:lang w:val="es-CO" w:bidi="es-CO"/>
              </w:rPr>
              <w:fldChar w:fldCharType="end"/>
            </w:r>
          </w:p>
          <w:p w14:paraId="3A9425A3" w14:textId="77777777" w:rsidR="00EB0FD7" w:rsidRPr="00D714C1" w:rsidRDefault="00EB0FD7" w:rsidP="00CE240B">
            <w:pPr>
              <w:spacing w:before="0" w:after="0"/>
              <w:jc w:val="left"/>
              <w:rPr>
                <w:lang w:val="es-CO"/>
              </w:rPr>
            </w:pPr>
          </w:p>
          <w:p w14:paraId="38B0E5F7" w14:textId="77777777" w:rsidR="00EB0FD7" w:rsidRPr="00D714C1" w:rsidRDefault="00EB0FD7" w:rsidP="00CE240B">
            <w:pPr>
              <w:spacing w:before="0" w:after="0"/>
              <w:jc w:val="left"/>
              <w:rPr>
                <w:lang w:val="es-CO"/>
              </w:rPr>
            </w:pPr>
          </w:p>
          <w:p w14:paraId="1DAF813A" w14:textId="161BCDDA" w:rsidR="781C17F4" w:rsidRPr="00D714C1" w:rsidRDefault="781C17F4" w:rsidP="781C17F4">
            <w:pPr>
              <w:spacing w:before="0" w:after="0"/>
              <w:jc w:val="left"/>
              <w:rPr>
                <w:lang w:val="es-CO"/>
              </w:rPr>
            </w:pPr>
          </w:p>
          <w:p w14:paraId="01989043" w14:textId="612B7C73" w:rsidR="781C17F4" w:rsidRPr="00D714C1" w:rsidRDefault="781C17F4" w:rsidP="781C17F4">
            <w:pPr>
              <w:spacing w:before="0" w:after="0"/>
              <w:jc w:val="left"/>
              <w:rPr>
                <w:lang w:val="es-CO"/>
              </w:rPr>
            </w:pPr>
          </w:p>
          <w:p w14:paraId="3EA7F4F1" w14:textId="37A42257" w:rsidR="781C17F4" w:rsidRPr="00D714C1" w:rsidRDefault="781C17F4" w:rsidP="781C17F4">
            <w:pPr>
              <w:spacing w:before="0" w:after="0"/>
              <w:jc w:val="left"/>
              <w:rPr>
                <w:lang w:val="es-CO"/>
              </w:rPr>
            </w:pPr>
          </w:p>
          <w:p w14:paraId="2D244B76" w14:textId="0CE5E62E" w:rsidR="781C17F4" w:rsidRPr="00D714C1" w:rsidRDefault="781C17F4" w:rsidP="781C17F4">
            <w:pPr>
              <w:spacing w:before="0" w:after="0"/>
              <w:jc w:val="left"/>
              <w:rPr>
                <w:lang w:val="es-CO"/>
              </w:rPr>
            </w:pPr>
          </w:p>
          <w:p w14:paraId="07ECE6FF" w14:textId="0EA05A32" w:rsidR="00EB0FD7" w:rsidRPr="00D714C1" w:rsidRDefault="00A07D20" w:rsidP="00CE240B">
            <w:pPr>
              <w:spacing w:before="0" w:after="0"/>
              <w:jc w:val="left"/>
              <w:rPr>
                <w:lang w:val="es-CO"/>
              </w:rPr>
            </w:pPr>
            <w:r>
              <w:fldChar w:fldCharType="begin"/>
            </w:r>
            <w:r w:rsidRPr="00A07D20">
              <w:rPr>
                <w:lang w:val="es-ES"/>
              </w:rPr>
              <w:instrText xml:space="preserve"> HYPERLINK "https://www.unicef.org/media/66401/file/WASH-COVID-19-hygiene-programming-guidance-2020.pdf" </w:instrText>
            </w:r>
            <w:r>
              <w:fldChar w:fldCharType="separate"/>
            </w:r>
            <w:r w:rsidR="00EB0FD7" w:rsidRPr="00D714C1">
              <w:rPr>
                <w:rStyle w:val="Hyperlink"/>
                <w:lang w:val="es-CO" w:bidi="es-CO"/>
              </w:rPr>
              <w:t>Nota de la Guía del Programa de Higiene del UNICEF</w:t>
            </w:r>
            <w:r>
              <w:rPr>
                <w:rStyle w:val="Hyperlink"/>
                <w:lang w:val="es-CO" w:bidi="es-CO"/>
              </w:rPr>
              <w:fldChar w:fldCharType="end"/>
            </w:r>
          </w:p>
        </w:tc>
      </w:tr>
    </w:tbl>
    <w:p w14:paraId="6FB4A90A" w14:textId="77777777" w:rsidR="00486CE9" w:rsidRPr="00D714C1" w:rsidRDefault="00486CE9" w:rsidP="00486CE9">
      <w:pPr>
        <w:rPr>
          <w:lang w:val="es-CO"/>
        </w:rPr>
      </w:pPr>
    </w:p>
    <w:p w14:paraId="58F8B834" w14:textId="77777777" w:rsidR="001B0F08" w:rsidRPr="00D714C1" w:rsidRDefault="001B0F08" w:rsidP="00DB22B3">
      <w:pPr>
        <w:pStyle w:val="Heading1"/>
        <w:rPr>
          <w:lang w:val="es-CO"/>
        </w:rPr>
      </w:pPr>
      <w:r w:rsidRPr="00D714C1">
        <w:rPr>
          <w:lang w:val="es-CO" w:bidi="es-CO"/>
        </w:rPr>
        <w:br w:type="page"/>
      </w:r>
    </w:p>
    <w:p w14:paraId="59324E4C" w14:textId="10CCEADA" w:rsidR="00DB22B3" w:rsidRPr="00D714C1" w:rsidRDefault="00DB22B3" w:rsidP="00DB22B3">
      <w:pPr>
        <w:pStyle w:val="Heading1"/>
        <w:rPr>
          <w:lang w:val="es-CO"/>
        </w:rPr>
      </w:pPr>
      <w:bookmarkStart w:id="4" w:name="_Toc44425356"/>
      <w:r w:rsidRPr="00D714C1">
        <w:rPr>
          <w:lang w:val="es-CO" w:bidi="es-CO"/>
        </w:rPr>
        <w:lastRenderedPageBreak/>
        <w:t>Trabajo con el sector de la salud y apoyo a la respuesta a la COVID-19</w:t>
      </w:r>
      <w:bookmarkEnd w:id="4"/>
    </w:p>
    <w:tbl>
      <w:tblPr>
        <w:tblStyle w:val="TableGrid"/>
        <w:tblW w:w="21259" w:type="dxa"/>
        <w:tblInd w:w="0" w:type="dxa"/>
        <w:tblLayout w:type="fixed"/>
        <w:tblCellMar>
          <w:top w:w="57" w:type="dxa"/>
          <w:bottom w:w="57" w:type="dxa"/>
        </w:tblCellMar>
        <w:tblLook w:val="04A0" w:firstRow="1" w:lastRow="0" w:firstColumn="1" w:lastColumn="0" w:noHBand="0" w:noVBand="1"/>
      </w:tblPr>
      <w:tblGrid>
        <w:gridCol w:w="2605"/>
        <w:gridCol w:w="4140"/>
        <w:gridCol w:w="11340"/>
        <w:gridCol w:w="3174"/>
      </w:tblGrid>
      <w:tr w:rsidR="00E51807" w:rsidRPr="00D714C1" w14:paraId="2EA2DBB2" w14:textId="4CF7D3D6" w:rsidTr="00BF0BF9">
        <w:trPr>
          <w:cantSplit/>
          <w:tblHeader/>
        </w:trPr>
        <w:tc>
          <w:tcPr>
            <w:tcW w:w="2605" w:type="dxa"/>
            <w:shd w:val="clear" w:color="auto" w:fill="6D96B3" w:themeFill="accent3"/>
          </w:tcPr>
          <w:p w14:paraId="55FBCFB7" w14:textId="77777777" w:rsidR="00E51807" w:rsidRPr="00D714C1" w:rsidRDefault="00E51807" w:rsidP="00CE240B">
            <w:pPr>
              <w:pStyle w:val="NoSpacing"/>
              <w:rPr>
                <w:b/>
                <w:bCs/>
                <w:color w:val="FFFFFF" w:themeColor="background1"/>
                <w:lang w:val="es-CO"/>
              </w:rPr>
            </w:pPr>
            <w:r w:rsidRPr="00D714C1">
              <w:rPr>
                <w:b/>
                <w:color w:val="FFFFFF" w:themeColor="background1"/>
                <w:lang w:val="es-CO" w:bidi="es-CO"/>
              </w:rPr>
              <w:t>Pregunta general</w:t>
            </w:r>
          </w:p>
        </w:tc>
        <w:tc>
          <w:tcPr>
            <w:tcW w:w="4140" w:type="dxa"/>
            <w:shd w:val="clear" w:color="auto" w:fill="6D96B3" w:themeFill="accent3"/>
          </w:tcPr>
          <w:p w14:paraId="385C9186" w14:textId="77777777" w:rsidR="00E51807" w:rsidRPr="00D714C1" w:rsidRDefault="00E51807" w:rsidP="00CE240B">
            <w:pPr>
              <w:pStyle w:val="NoSpacing"/>
              <w:rPr>
                <w:b/>
                <w:bCs/>
                <w:color w:val="FFFFFF" w:themeColor="background1"/>
                <w:lang w:val="es-CO"/>
              </w:rPr>
            </w:pPr>
            <w:r w:rsidRPr="00D714C1">
              <w:rPr>
                <w:b/>
                <w:color w:val="FFFFFF" w:themeColor="background1"/>
                <w:lang w:val="es-CO" w:bidi="es-CO"/>
              </w:rPr>
              <w:t>Preguntas recibidas</w:t>
            </w:r>
          </w:p>
        </w:tc>
        <w:tc>
          <w:tcPr>
            <w:tcW w:w="11340" w:type="dxa"/>
            <w:shd w:val="clear" w:color="auto" w:fill="6D96B3" w:themeFill="accent3"/>
          </w:tcPr>
          <w:p w14:paraId="1D06F2F1" w14:textId="77777777" w:rsidR="00E51807" w:rsidRPr="00D714C1" w:rsidRDefault="00E51807" w:rsidP="00CE240B">
            <w:pPr>
              <w:pStyle w:val="NoSpacing"/>
              <w:rPr>
                <w:b/>
                <w:bCs/>
                <w:color w:val="FFFFFF" w:themeColor="background1"/>
                <w:lang w:val="es-CO"/>
              </w:rPr>
            </w:pPr>
            <w:r w:rsidRPr="00D714C1">
              <w:rPr>
                <w:b/>
                <w:color w:val="FFFFFF" w:themeColor="background1"/>
                <w:lang w:val="es-CO" w:bidi="es-CO"/>
              </w:rPr>
              <w:t>Respuesta</w:t>
            </w:r>
          </w:p>
        </w:tc>
        <w:tc>
          <w:tcPr>
            <w:tcW w:w="3174" w:type="dxa"/>
            <w:shd w:val="clear" w:color="auto" w:fill="6D96B3" w:themeFill="accent3"/>
          </w:tcPr>
          <w:p w14:paraId="5A869A86" w14:textId="092E3796" w:rsidR="00E51807" w:rsidRPr="00D714C1" w:rsidRDefault="00E51807" w:rsidP="00CE240B">
            <w:pPr>
              <w:pStyle w:val="NoSpacing"/>
              <w:rPr>
                <w:b/>
                <w:bCs/>
                <w:color w:val="FFFFFF" w:themeColor="background1"/>
                <w:lang w:val="es-CO"/>
              </w:rPr>
            </w:pPr>
            <w:r w:rsidRPr="00D714C1">
              <w:rPr>
                <w:b/>
                <w:color w:val="FFFFFF" w:themeColor="background1"/>
                <w:lang w:val="es-CO" w:bidi="es-CO"/>
              </w:rPr>
              <w:t>Guía</w:t>
            </w:r>
          </w:p>
        </w:tc>
      </w:tr>
      <w:tr w:rsidR="00E51807" w:rsidRPr="00A07D20" w14:paraId="4FAA1F25" w14:textId="78E2E217" w:rsidTr="00BF0BF9">
        <w:trPr>
          <w:cantSplit/>
        </w:trPr>
        <w:tc>
          <w:tcPr>
            <w:tcW w:w="2605" w:type="dxa"/>
            <w:shd w:val="clear" w:color="auto" w:fill="E1E9EF" w:themeFill="accent3" w:themeFillTint="33"/>
          </w:tcPr>
          <w:p w14:paraId="38D314D4" w14:textId="354D6C7C" w:rsidR="00E51807" w:rsidRPr="00D714C1" w:rsidRDefault="00E51807" w:rsidP="00A43E43">
            <w:pPr>
              <w:pStyle w:val="Bold"/>
              <w:rPr>
                <w:lang w:val="es-CO"/>
              </w:rPr>
            </w:pPr>
            <w:r w:rsidRPr="00D714C1">
              <w:rPr>
                <w:lang w:val="es-CO" w:bidi="es-CO"/>
              </w:rPr>
              <w:t>¿Cuál es el papel del sector de acción contra minas en el apoyo a la respuesta a la COVID-19? ¿Qué tal si se crean equipos de educación de riesgos múltiples?</w:t>
            </w:r>
          </w:p>
        </w:tc>
        <w:tc>
          <w:tcPr>
            <w:tcW w:w="4140" w:type="dxa"/>
          </w:tcPr>
          <w:p w14:paraId="1CA9FF31" w14:textId="0F698683" w:rsidR="00E51807" w:rsidRPr="00D714C1" w:rsidRDefault="00E51807" w:rsidP="00A43E43">
            <w:pPr>
              <w:pStyle w:val="BulletinTable"/>
              <w:rPr>
                <w:lang w:val="es-CO"/>
              </w:rPr>
            </w:pPr>
            <w:r w:rsidRPr="00D714C1">
              <w:rPr>
                <w:lang w:val="es-CO" w:bidi="es-CO"/>
              </w:rPr>
              <w:t>¿Proponemos una educación de riesgos actualizada con múltiples tareas y campañas de información pública o mantenemos los mensajes y las actividades por separado?</w:t>
            </w:r>
          </w:p>
          <w:p w14:paraId="14D2E8B4" w14:textId="31C86F2A" w:rsidR="00E51807" w:rsidRPr="00D714C1" w:rsidRDefault="00E51807" w:rsidP="00A43E43">
            <w:pPr>
              <w:pStyle w:val="BulletinTable"/>
              <w:rPr>
                <w:lang w:val="es-CO"/>
              </w:rPr>
            </w:pPr>
            <w:r w:rsidRPr="00D714C1">
              <w:rPr>
                <w:lang w:val="es-CO" w:bidi="es-CO"/>
              </w:rPr>
              <w:t>Dado que tendremos menos acceso a las comunidades, ¿valdría la pena tener una estrategia de gestión de múltiples riesgos, de modo que los afectados reciban información de varios riesgos de manera coordinada?</w:t>
            </w:r>
          </w:p>
        </w:tc>
        <w:tc>
          <w:tcPr>
            <w:tcW w:w="11340" w:type="dxa"/>
            <w:shd w:val="clear" w:color="auto" w:fill="E1E9EF" w:themeFill="accent3" w:themeFillTint="33"/>
          </w:tcPr>
          <w:p w14:paraId="4AAAEEFA" w14:textId="16CDFC40" w:rsidR="00E51807" w:rsidRPr="00D714C1" w:rsidRDefault="00E51807" w:rsidP="290F75C3">
            <w:pPr>
              <w:pStyle w:val="BulletinTable"/>
              <w:numPr>
                <w:ilvl w:val="0"/>
                <w:numId w:val="0"/>
              </w:numPr>
              <w:rPr>
                <w:lang w:val="es-CO"/>
              </w:rPr>
            </w:pPr>
            <w:r w:rsidRPr="00D714C1">
              <w:rPr>
                <w:lang w:val="es-CO" w:bidi="es-CO"/>
              </w:rPr>
              <w:t>Se debe considerar la formación de equipos de educación de riesgos múltiples (</w:t>
            </w:r>
            <w:r w:rsidR="00B316FF">
              <w:rPr>
                <w:lang w:val="es-CO" w:bidi="es-CO"/>
              </w:rPr>
              <w:t>educación en el riesgo de artefactos explosivos</w:t>
            </w:r>
            <w:r w:rsidRPr="00D714C1">
              <w:rPr>
                <w:lang w:val="es-CO" w:bidi="es-CO"/>
              </w:rPr>
              <w:t>, salud y saneamiento, armas explosivas en áreas pobladas, bomberos, etc.). Algunas cosas que hay que tener presentes:</w:t>
            </w:r>
          </w:p>
          <w:p w14:paraId="72ADF0E5" w14:textId="508635DF" w:rsidR="3DBDA780" w:rsidRPr="00D714C1" w:rsidRDefault="3DBDA780" w:rsidP="098937A5">
            <w:pPr>
              <w:pStyle w:val="BulletinTable"/>
              <w:rPr>
                <w:rFonts w:asciiTheme="minorHAnsi" w:eastAsiaTheme="minorEastAsia" w:hAnsiTheme="minorHAnsi" w:cstheme="minorBidi"/>
                <w:lang w:val="es-CO" w:eastAsia="en-GB"/>
              </w:rPr>
            </w:pPr>
            <w:r w:rsidRPr="00D714C1">
              <w:rPr>
                <w:rFonts w:eastAsia="Microsoft YaHei UI"/>
                <w:lang w:val="es-CO" w:bidi="es-CO"/>
              </w:rPr>
              <w:t>Los programas de educación de riesgos/comunicación de riesgos tienen muchos aspectos en común: manejo de creencias, normas sociales, falta de conocimientos y desinformación; los comportamientos van de la aceptación al rechazo; algunas personas/grupos son imprudentes, mientras que otros se ven obligados a correr riesgos; y el cambio de los patrones de vida por un nuevo riesgo es un tema sensible (miedo al castigo, p. ej., si se es el primero en recibirlo). Además, el estigma es un elemento adicional con el que no hemos tenido que lidiar tanto; podemos aprender del VIH, ébola, etc.</w:t>
            </w:r>
          </w:p>
          <w:p w14:paraId="1A9ED8B8" w14:textId="3F523743" w:rsidR="00E51807" w:rsidRPr="00D714C1" w:rsidRDefault="3DBDA780" w:rsidP="00A43E43">
            <w:pPr>
              <w:pStyle w:val="BulletinTable"/>
              <w:rPr>
                <w:rFonts w:asciiTheme="minorHAnsi" w:eastAsiaTheme="minorEastAsia" w:hAnsiTheme="minorHAnsi" w:cstheme="minorBidi"/>
                <w:szCs w:val="22"/>
                <w:lang w:val="es-CO"/>
              </w:rPr>
            </w:pPr>
            <w:r w:rsidRPr="00D714C1">
              <w:rPr>
                <w:rFonts w:eastAsia="Microsoft YaHei UI"/>
                <w:lang w:val="es-CO" w:bidi="es-CO"/>
              </w:rPr>
              <w:t xml:space="preserve">El lenguaje de ambos sectores también es parecido, con algunas diferencias: comunicación de riesgos vs. educación de riesgos, participación comunitaria vs. enlace comunitario. La </w:t>
            </w:r>
            <w:r w:rsidR="00B316FF">
              <w:rPr>
                <w:rFonts w:eastAsia="Microsoft YaHei UI"/>
                <w:lang w:val="es-CO" w:bidi="es-CO"/>
              </w:rPr>
              <w:t>educación en el riesgo de artefactos explosivos</w:t>
            </w:r>
            <w:r w:rsidRPr="00D714C1">
              <w:rPr>
                <w:rFonts w:eastAsia="Microsoft YaHei UI"/>
                <w:lang w:val="es-CO" w:bidi="es-CO"/>
              </w:rPr>
              <w:t xml:space="preserve"> es una forma de intervención de la Comunicación para el Desarrollo (C4D).</w:t>
            </w:r>
          </w:p>
          <w:p w14:paraId="4A89FC37" w14:textId="4E652300" w:rsidR="00E51807" w:rsidRPr="00D714C1" w:rsidRDefault="00E51807" w:rsidP="290F75C3">
            <w:pPr>
              <w:pStyle w:val="BulletinTable"/>
              <w:numPr>
                <w:ilvl w:val="0"/>
                <w:numId w:val="0"/>
              </w:numPr>
              <w:rPr>
                <w:rFonts w:eastAsia="Microsoft YaHei UI"/>
                <w:lang w:val="es-CO" w:eastAsia="en-GB"/>
              </w:rPr>
            </w:pPr>
            <w:r w:rsidRPr="00D714C1">
              <w:rPr>
                <w:rFonts w:eastAsia="Microsoft YaHei UI"/>
                <w:lang w:val="es-CO" w:bidi="es-CO"/>
              </w:rPr>
              <w:t xml:space="preserve">En el sector de la </w:t>
            </w:r>
            <w:r w:rsidR="00B316FF">
              <w:rPr>
                <w:rFonts w:eastAsia="Microsoft YaHei UI"/>
                <w:lang w:val="es-CO" w:bidi="es-CO"/>
              </w:rPr>
              <w:t>educación en el riesgo de artefactos explosivos</w:t>
            </w:r>
            <w:r w:rsidRPr="00D714C1">
              <w:rPr>
                <w:rFonts w:eastAsia="Microsoft YaHei UI"/>
                <w:lang w:val="es-CO" w:bidi="es-CO"/>
              </w:rPr>
              <w:t xml:space="preserve"> tenemos experiencia en trabajo a nivel de la comunidad, pero tenemos que acostumbrarnos a los nuevos requisitos (p. ej., espacios). Si no incorporamos los mensajes sobre la COVID-19 como tales en la sesión de </w:t>
            </w:r>
            <w:r w:rsidR="00B316FF">
              <w:rPr>
                <w:rFonts w:eastAsia="Microsoft YaHei UI"/>
                <w:lang w:val="es-CO" w:bidi="es-CO"/>
              </w:rPr>
              <w:t>educación en el riesgo de artefactos explosivos</w:t>
            </w:r>
            <w:r w:rsidRPr="00D714C1">
              <w:rPr>
                <w:rFonts w:eastAsia="Microsoft YaHei UI"/>
                <w:lang w:val="es-CO" w:bidi="es-CO"/>
              </w:rPr>
              <w:t>, deberíamos de todos modos explicar por qué pusimos una estación para el lavado de manos, por qué los grupos son más pequeños, por qué hay distanciamiento físico, etc.</w:t>
            </w:r>
          </w:p>
          <w:p w14:paraId="1FBF4DE9" w14:textId="1DC7F926" w:rsidR="00D032F7" w:rsidRPr="00D714C1" w:rsidRDefault="00A3020D" w:rsidP="290F75C3">
            <w:pPr>
              <w:pStyle w:val="BulletinTable"/>
              <w:numPr>
                <w:ilvl w:val="0"/>
                <w:numId w:val="0"/>
              </w:numPr>
              <w:rPr>
                <w:rFonts w:ascii="Calibri" w:hAnsi="Calibri"/>
                <w:lang w:val="es-CO" w:eastAsia="en-GB"/>
              </w:rPr>
            </w:pPr>
            <w:r w:rsidRPr="00D714C1">
              <w:rPr>
                <w:lang w:val="es-CO" w:bidi="es-CO"/>
              </w:rPr>
              <w:t>Nota: La guía/política global y nacional resuelve los asuntos relativos a los EPP.</w:t>
            </w:r>
          </w:p>
          <w:p w14:paraId="2A9DA5C5" w14:textId="2CD66B4D" w:rsidR="00E51807" w:rsidRPr="00D714C1" w:rsidRDefault="3768748A" w:rsidP="290F75C3">
            <w:pPr>
              <w:pStyle w:val="BulletinTable"/>
              <w:numPr>
                <w:ilvl w:val="0"/>
                <w:numId w:val="0"/>
              </w:numPr>
              <w:rPr>
                <w:rFonts w:ascii="Calibri" w:hAnsi="Calibri"/>
                <w:lang w:val="es-CO" w:eastAsia="en-GB"/>
              </w:rPr>
            </w:pPr>
            <w:r w:rsidRPr="00D714C1">
              <w:rPr>
                <w:rFonts w:eastAsia="Microsoft YaHei UI"/>
                <w:lang w:val="es-CO" w:bidi="es-CO"/>
              </w:rPr>
              <w:t xml:space="preserve">Podemos trabajar en la incorporación del tema de la COVID-19 en los </w:t>
            </w:r>
            <w:r w:rsidRPr="00D714C1">
              <w:rPr>
                <w:rFonts w:eastAsia="Microsoft YaHei UI"/>
                <w:b/>
                <w:lang w:val="es-CO" w:bidi="es-CO"/>
              </w:rPr>
              <w:t>mensajes en persona y mediante redes y focos de atención comunitarios</w:t>
            </w:r>
            <w:r w:rsidRPr="00D714C1">
              <w:rPr>
                <w:rFonts w:eastAsia="Microsoft YaHei UI"/>
                <w:lang w:val="es-CO" w:bidi="es-CO"/>
              </w:rPr>
              <w:t xml:space="preserve"> (y también vía telefónica/medios móviles). Para los mensajes masivos y mensajes bidireccionales, se requiere la autorización sistemática del sector de la salud.</w:t>
            </w:r>
          </w:p>
          <w:p w14:paraId="3F4831C5" w14:textId="2B4C41B4" w:rsidR="00E51807" w:rsidRPr="00D714C1" w:rsidRDefault="6AE5567B" w:rsidP="098937A5">
            <w:pPr>
              <w:pStyle w:val="BulletinTable"/>
              <w:numPr>
                <w:ilvl w:val="0"/>
                <w:numId w:val="0"/>
              </w:numPr>
              <w:rPr>
                <w:rFonts w:ascii="Calibri" w:hAnsi="Calibri"/>
                <w:lang w:val="es-CO" w:eastAsia="en-GB"/>
              </w:rPr>
            </w:pPr>
            <w:r w:rsidRPr="00D714C1">
              <w:rPr>
                <w:rFonts w:eastAsia="Microsoft YaHei UI"/>
                <w:lang w:val="es-CO" w:bidi="es-CO"/>
              </w:rPr>
              <w:t>Si enviarán mensajes sobre la COVID-19, tengan en cuenta si existe la posibilidad de que las comunidades apliquen las medidas de prevención (p. ej., acceso a agua, jabón, espacio). Los mensajes tienen que ser realistas y adaptados al lugar.</w:t>
            </w:r>
          </w:p>
        </w:tc>
        <w:tc>
          <w:tcPr>
            <w:tcW w:w="3174" w:type="dxa"/>
            <w:shd w:val="clear" w:color="auto" w:fill="FFFFFF" w:themeFill="background1"/>
          </w:tcPr>
          <w:p w14:paraId="2A0F618D" w14:textId="70F11426" w:rsidR="00E51807" w:rsidRPr="00D714C1" w:rsidRDefault="00A07D20">
            <w:pPr>
              <w:pStyle w:val="BulletinTable"/>
              <w:numPr>
                <w:ilvl w:val="0"/>
                <w:numId w:val="0"/>
              </w:numPr>
              <w:rPr>
                <w:lang w:val="es-CO"/>
              </w:rPr>
            </w:pPr>
            <w:r>
              <w:fldChar w:fldCharType="begin"/>
            </w:r>
            <w:r w:rsidRPr="00A07D20">
              <w:rPr>
                <w:lang w:val="es-ES"/>
              </w:rPr>
              <w:instrText xml:space="preserve"> HYPERLINK "https://unicef-my.sharepoint.com/:f:/g/personal/hlaurenge_unicef_org1/EvpMqEfJZxZFu-PirHQbt8kBy10vby9JAzo31ozqln5adQ?e=BfPPhr" \h </w:instrText>
            </w:r>
            <w:r>
              <w:fldChar w:fldCharType="separate"/>
            </w:r>
            <w:r w:rsidR="00E51807" w:rsidRPr="00D714C1">
              <w:rPr>
                <w:rStyle w:val="Hyperlink"/>
                <w:lang w:val="es-CO" w:bidi="es-CO"/>
              </w:rPr>
              <w:t>Ejemplos de educación integrada de riesgos de artefactos explosivos/COVID</w:t>
            </w:r>
            <w:r>
              <w:rPr>
                <w:rStyle w:val="Hyperlink"/>
                <w:lang w:val="es-CO" w:bidi="es-CO"/>
              </w:rPr>
              <w:fldChar w:fldCharType="end"/>
            </w:r>
            <w:r w:rsidR="00E51807" w:rsidRPr="00D714C1">
              <w:rPr>
                <w:lang w:val="es-CO" w:bidi="es-CO"/>
              </w:rPr>
              <w:t xml:space="preserve"> </w:t>
            </w:r>
          </w:p>
          <w:p w14:paraId="38A50DFE" w14:textId="4F830BEE" w:rsidR="00E51807" w:rsidRPr="00D714C1" w:rsidRDefault="00A07D20" w:rsidP="098937A5">
            <w:pPr>
              <w:spacing w:before="0" w:after="0"/>
              <w:jc w:val="left"/>
              <w:rPr>
                <w:rStyle w:val="Hyperlink"/>
                <w:rFonts w:asciiTheme="minorHAnsi" w:eastAsiaTheme="majorEastAsia" w:hAnsiTheme="minorHAnsi" w:cstheme="minorHAnsi"/>
                <w:lang w:val="es-CO"/>
              </w:rPr>
            </w:pPr>
            <w:r>
              <w:fldChar w:fldCharType="begin"/>
            </w:r>
            <w:r w:rsidRPr="00A07D20">
              <w:rPr>
                <w:lang w:val="es-ES"/>
              </w:rPr>
              <w:instrText xml:space="preserve"> HYPERLINK "https://www.unicef.org/media/66401/file/WASH-COVID-19-hygiene-programming-guidance-2020.pdf" </w:instrText>
            </w:r>
            <w:r>
              <w:fldChar w:fldCharType="separate"/>
            </w:r>
            <w:r w:rsidR="00E51807" w:rsidRPr="00D714C1">
              <w:rPr>
                <w:rStyle w:val="Hyperlink"/>
                <w:rFonts w:asciiTheme="minorHAnsi" w:eastAsiaTheme="majorEastAsia" w:hAnsiTheme="minorHAnsi" w:cstheme="minorHAnsi"/>
                <w:lang w:val="es-CO" w:bidi="es-CO"/>
              </w:rPr>
              <w:t>Nota de la Guía del Programa de Higiene del UNICEF</w:t>
            </w:r>
            <w:r>
              <w:rPr>
                <w:rStyle w:val="Hyperlink"/>
                <w:rFonts w:asciiTheme="minorHAnsi" w:eastAsiaTheme="majorEastAsia" w:hAnsiTheme="minorHAnsi" w:cstheme="minorHAnsi"/>
                <w:lang w:val="es-CO" w:bidi="es-CO"/>
              </w:rPr>
              <w:fldChar w:fldCharType="end"/>
            </w:r>
          </w:p>
          <w:p w14:paraId="383B7FBC" w14:textId="77777777" w:rsidR="00E51807" w:rsidRPr="00D714C1" w:rsidRDefault="00E51807" w:rsidP="098937A5">
            <w:pPr>
              <w:spacing w:before="0" w:after="0"/>
              <w:jc w:val="left"/>
              <w:rPr>
                <w:rStyle w:val="Hyperlink"/>
                <w:rFonts w:asciiTheme="minorHAnsi" w:eastAsiaTheme="majorEastAsia" w:hAnsiTheme="minorHAnsi" w:cstheme="minorBidi"/>
                <w:lang w:val="es-CO"/>
              </w:rPr>
            </w:pPr>
          </w:p>
          <w:p w14:paraId="2DD96295" w14:textId="77777777" w:rsidR="00E51807" w:rsidRPr="00D714C1" w:rsidRDefault="00A07D20" w:rsidP="003368B2">
            <w:pPr>
              <w:spacing w:before="0" w:after="0"/>
              <w:contextualSpacing/>
              <w:jc w:val="left"/>
              <w:rPr>
                <w:lang w:val="es-CO"/>
              </w:rPr>
            </w:pPr>
            <w:r>
              <w:fldChar w:fldCharType="begin"/>
            </w:r>
            <w:r w:rsidRPr="00A07D20">
              <w:rPr>
                <w:lang w:val="es-ES"/>
              </w:rPr>
              <w:instrText xml:space="preserve"> HYPERLINK "https://www.unicef.org/media/65931/file/Social%20stigma%20associ</w:instrText>
            </w:r>
            <w:r w:rsidRPr="00A07D20">
              <w:rPr>
                <w:lang w:val="es-ES"/>
              </w:rPr>
              <w:instrText xml:space="preserve">ated%20with%20the%20coronavirus%20disease%202019%20(COVID-19).pdf" </w:instrText>
            </w:r>
            <w:r>
              <w:fldChar w:fldCharType="separate"/>
            </w:r>
            <w:r w:rsidR="00E51807" w:rsidRPr="00D714C1">
              <w:rPr>
                <w:color w:val="0563C1"/>
                <w:u w:val="single"/>
                <w:lang w:val="es-CO" w:bidi="es-CO"/>
              </w:rPr>
              <w:t>Guía para prevenir y abordar el estigma social asociado a la enfermedad por coronavirus (COVID-19)</w:t>
            </w:r>
            <w:r>
              <w:rPr>
                <w:color w:val="0563C1"/>
                <w:u w:val="single"/>
                <w:lang w:val="es-CO" w:bidi="es-CO"/>
              </w:rPr>
              <w:fldChar w:fldCharType="end"/>
            </w:r>
            <w:r w:rsidR="00E51807" w:rsidRPr="00D714C1">
              <w:rPr>
                <w:lang w:val="es-CO" w:bidi="es-CO"/>
              </w:rPr>
              <w:t xml:space="preserve"> - FICR, UNICEF, OMS</w:t>
            </w:r>
          </w:p>
          <w:p w14:paraId="6452EC21" w14:textId="77777777" w:rsidR="00E51807" w:rsidRPr="00D714C1" w:rsidRDefault="00E51807" w:rsidP="098937A5">
            <w:pPr>
              <w:spacing w:before="0" w:after="0"/>
              <w:jc w:val="left"/>
              <w:rPr>
                <w:rStyle w:val="Hyperlink"/>
                <w:rFonts w:asciiTheme="minorHAnsi" w:eastAsiaTheme="majorEastAsia" w:hAnsiTheme="minorHAnsi" w:cstheme="minorBidi"/>
                <w:lang w:val="es-CO"/>
              </w:rPr>
            </w:pPr>
          </w:p>
          <w:p w14:paraId="207DE647" w14:textId="77777777" w:rsidR="00E51807" w:rsidRPr="00D714C1" w:rsidRDefault="00E51807" w:rsidP="006776C0">
            <w:pPr>
              <w:spacing w:before="0" w:after="0"/>
              <w:contextualSpacing/>
              <w:jc w:val="left"/>
              <w:rPr>
                <w:rStyle w:val="Hyperlink"/>
                <w:rFonts w:asciiTheme="minorHAnsi" w:eastAsiaTheme="majorEastAsia" w:hAnsiTheme="minorHAnsi" w:cstheme="minorHAnsi"/>
                <w:lang w:val="es-CO"/>
              </w:rPr>
            </w:pPr>
          </w:p>
          <w:p w14:paraId="78F27BEF" w14:textId="62190E4C" w:rsidR="00E51807" w:rsidRPr="00D714C1" w:rsidRDefault="00E51807" w:rsidP="006776C0">
            <w:pPr>
              <w:spacing w:before="0" w:after="0"/>
              <w:contextualSpacing/>
              <w:jc w:val="left"/>
              <w:rPr>
                <w:rStyle w:val="Hyperlink"/>
                <w:rFonts w:asciiTheme="minorHAnsi" w:eastAsiaTheme="majorEastAsia" w:hAnsiTheme="minorHAnsi" w:cstheme="minorHAnsi"/>
                <w:lang w:val="es-CO"/>
              </w:rPr>
            </w:pPr>
          </w:p>
          <w:p w14:paraId="76467743" w14:textId="085A36A3" w:rsidR="00D032F7" w:rsidRPr="00D714C1" w:rsidRDefault="00D032F7" w:rsidP="006776C0">
            <w:pPr>
              <w:spacing w:before="0" w:after="0"/>
              <w:contextualSpacing/>
              <w:jc w:val="left"/>
              <w:rPr>
                <w:rStyle w:val="Hyperlink"/>
                <w:rFonts w:asciiTheme="minorHAnsi" w:eastAsiaTheme="majorEastAsia" w:hAnsiTheme="minorHAnsi" w:cstheme="minorHAnsi"/>
                <w:lang w:val="es-CO"/>
              </w:rPr>
            </w:pPr>
          </w:p>
          <w:p w14:paraId="07EEB0E8" w14:textId="3F99503E" w:rsidR="00D032F7" w:rsidRPr="00D714C1" w:rsidRDefault="00D032F7" w:rsidP="006776C0">
            <w:pPr>
              <w:spacing w:before="0" w:after="0"/>
              <w:contextualSpacing/>
              <w:jc w:val="left"/>
              <w:rPr>
                <w:rStyle w:val="Hyperlink"/>
                <w:rFonts w:asciiTheme="minorHAnsi" w:eastAsiaTheme="majorEastAsia" w:hAnsiTheme="minorHAnsi" w:cstheme="minorHAnsi"/>
                <w:lang w:val="es-CO"/>
              </w:rPr>
            </w:pPr>
            <w:r w:rsidRPr="00D714C1">
              <w:rPr>
                <w:rStyle w:val="Hyperlink"/>
                <w:rFonts w:asciiTheme="minorHAnsi" w:eastAsiaTheme="majorEastAsia" w:hAnsiTheme="minorHAnsi" w:cstheme="minorHAnsi"/>
                <w:lang w:val="es-CO" w:bidi="es-CO"/>
              </w:rPr>
              <w:t xml:space="preserve">             </w:t>
            </w:r>
          </w:p>
          <w:p w14:paraId="5173A65F" w14:textId="490C165C" w:rsidR="290F75C3" w:rsidRPr="00D714C1" w:rsidRDefault="290F75C3" w:rsidP="290F75C3">
            <w:pPr>
              <w:spacing w:before="0" w:after="0"/>
              <w:jc w:val="left"/>
              <w:rPr>
                <w:color w:val="0563C1"/>
                <w:u w:val="single"/>
                <w:lang w:val="es-CO"/>
              </w:rPr>
            </w:pPr>
          </w:p>
          <w:p w14:paraId="33087D46" w14:textId="60902226" w:rsidR="00E51807" w:rsidRPr="00D714C1" w:rsidRDefault="00A07D20" w:rsidP="098937A5">
            <w:pPr>
              <w:spacing w:before="0" w:after="0"/>
              <w:jc w:val="left"/>
              <w:rPr>
                <w:lang w:val="es-CO"/>
              </w:rPr>
            </w:pPr>
            <w:r>
              <w:fldChar w:fldCharType="begin"/>
            </w:r>
            <w:r w:rsidRPr="00A07D20">
              <w:rPr>
                <w:lang w:val="es-ES"/>
              </w:rPr>
              <w:instrText xml:space="preserve"> HYPERLINK "https://www.unicef.org/press-releases/fact-sheet-handwashing-soap-critical-fight-against-coronavirus-out-reach-billions" \h </w:instrText>
            </w:r>
            <w:r>
              <w:fldChar w:fldCharType="separate"/>
            </w:r>
            <w:r w:rsidR="00E51807" w:rsidRPr="00D714C1">
              <w:rPr>
                <w:color w:val="0563C1"/>
                <w:u w:val="single"/>
                <w:lang w:val="es-CO" w:bidi="es-CO"/>
              </w:rPr>
              <w:t>FICHA INFORMATIVA: El lavado de manos con jabón, crítico en la lucha contra el coronavirus, está “fuera del alcance” de millones</w:t>
            </w:r>
            <w:r>
              <w:rPr>
                <w:color w:val="0563C1"/>
                <w:u w:val="single"/>
                <w:lang w:val="es-CO" w:bidi="es-CO"/>
              </w:rPr>
              <w:fldChar w:fldCharType="end"/>
            </w:r>
            <w:r w:rsidR="00E51807" w:rsidRPr="00D714C1">
              <w:rPr>
                <w:lang w:val="es-CO" w:bidi="es-CO"/>
              </w:rPr>
              <w:t xml:space="preserve"> – UNICEF</w:t>
            </w:r>
          </w:p>
        </w:tc>
      </w:tr>
      <w:tr w:rsidR="00E51807" w:rsidRPr="00A07D20" w14:paraId="3F641320" w14:textId="67BAB614" w:rsidTr="00BF0BF9">
        <w:trPr>
          <w:cantSplit/>
        </w:trPr>
        <w:tc>
          <w:tcPr>
            <w:tcW w:w="2605" w:type="dxa"/>
            <w:shd w:val="clear" w:color="auto" w:fill="E1E9EF" w:themeFill="accent3" w:themeFillTint="33"/>
          </w:tcPr>
          <w:p w14:paraId="4C79B159" w14:textId="2D334F6F" w:rsidR="00E51807" w:rsidRPr="00D714C1" w:rsidRDefault="00E51807" w:rsidP="00A43E43">
            <w:pPr>
              <w:pStyle w:val="Bold"/>
              <w:rPr>
                <w:lang w:val="es-CO"/>
              </w:rPr>
            </w:pPr>
            <w:r w:rsidRPr="00D714C1">
              <w:rPr>
                <w:lang w:val="es-CO" w:bidi="es-CO"/>
              </w:rPr>
              <w:lastRenderedPageBreak/>
              <w:t xml:space="preserve">¿Cómo podemos incorporar los mensajes sobre la COVID-19 a la </w:t>
            </w:r>
            <w:r w:rsidR="00B316FF">
              <w:rPr>
                <w:lang w:val="es-CO" w:bidi="es-CO"/>
              </w:rPr>
              <w:t>educación en el riesgo de artefactos explosivos</w:t>
            </w:r>
            <w:r w:rsidRPr="00D714C1">
              <w:rPr>
                <w:lang w:val="es-CO" w:bidi="es-CO"/>
              </w:rPr>
              <w:t>? ¿Necesitamos alguna certificación para transmitirlos? ¿Ya lo están haciendo en otro lugar?</w:t>
            </w:r>
          </w:p>
        </w:tc>
        <w:tc>
          <w:tcPr>
            <w:tcW w:w="4140" w:type="dxa"/>
          </w:tcPr>
          <w:p w14:paraId="0E8E05EA" w14:textId="21521806" w:rsidR="00E51807" w:rsidRPr="00D714C1" w:rsidRDefault="00E51807" w:rsidP="00A43E43">
            <w:pPr>
              <w:pStyle w:val="BulletinTable"/>
              <w:rPr>
                <w:lang w:val="es-CO"/>
              </w:rPr>
            </w:pPr>
            <w:r w:rsidRPr="00D714C1">
              <w:rPr>
                <w:lang w:val="es-CO" w:bidi="es-CO"/>
              </w:rPr>
              <w:t xml:space="preserve">Sobre la incorporación de los mensajes sobre la COVID-19 a la </w:t>
            </w:r>
            <w:r w:rsidR="00B316FF">
              <w:rPr>
                <w:lang w:val="es-CO" w:bidi="es-CO"/>
              </w:rPr>
              <w:t>educación en el riesgo de artefactos explosivos</w:t>
            </w:r>
            <w:r w:rsidRPr="00D714C1">
              <w:rPr>
                <w:lang w:val="es-CO" w:bidi="es-CO"/>
              </w:rPr>
              <w:t xml:space="preserve">, lo que es razonable: no hay aquí un método talla única, pero es bueno si se le pudiera dar una dirección general para mostrarle al sector el camino a seguir. </w:t>
            </w:r>
          </w:p>
          <w:p w14:paraId="79859016" w14:textId="77777777" w:rsidR="00E51807" w:rsidRPr="00D714C1" w:rsidRDefault="00E51807" w:rsidP="00A43E43">
            <w:pPr>
              <w:pStyle w:val="BulletinTable"/>
              <w:rPr>
                <w:lang w:val="es-CO"/>
              </w:rPr>
            </w:pPr>
            <w:r w:rsidRPr="00D714C1">
              <w:rPr>
                <w:lang w:val="es-CO" w:bidi="es-CO"/>
              </w:rPr>
              <w:t>¿Necesitamos alguna certificación para impartir educación de riesgos de COVID-19?</w:t>
            </w:r>
          </w:p>
          <w:p w14:paraId="72E2472B" w14:textId="22A2D891" w:rsidR="00E51807" w:rsidRPr="00D714C1" w:rsidRDefault="00E51807" w:rsidP="00A43E43">
            <w:pPr>
              <w:pStyle w:val="BulletinTable"/>
              <w:rPr>
                <w:lang w:val="es-CO"/>
              </w:rPr>
            </w:pPr>
            <w:r w:rsidRPr="00D714C1">
              <w:rPr>
                <w:lang w:val="es-CO" w:bidi="es-CO"/>
              </w:rPr>
              <w:t xml:space="preserve">En algunos países la COVID-19 no se ha propagado a ese nivel, pero podría ser sumamente letal. ¿Deberíamos entrenar completamente a los equipos de </w:t>
            </w:r>
            <w:r w:rsidR="00B316FF">
              <w:rPr>
                <w:lang w:val="es-CO" w:bidi="es-CO"/>
              </w:rPr>
              <w:t>educación en el riesgo de artefactos explosivos</w:t>
            </w:r>
            <w:r w:rsidRPr="00D714C1">
              <w:rPr>
                <w:lang w:val="es-CO" w:bidi="es-CO"/>
              </w:rPr>
              <w:t xml:space="preserve"> para que den mensajes de concienciación de la COVID-19? ¿Ya lo están haciendo en otros países? Y, de ser así, ¿podrían compartirnos la experiencia?</w:t>
            </w:r>
          </w:p>
          <w:p w14:paraId="32E0256D" w14:textId="26C071E5" w:rsidR="00E51807" w:rsidRPr="00D714C1" w:rsidRDefault="00E51807" w:rsidP="00A43E43">
            <w:pPr>
              <w:pStyle w:val="BulletinTable"/>
              <w:rPr>
                <w:lang w:val="es-CO"/>
              </w:rPr>
            </w:pPr>
            <w:r w:rsidRPr="00D714C1">
              <w:rPr>
                <w:lang w:val="es-CO" w:bidi="es-CO"/>
              </w:rPr>
              <w:t xml:space="preserve">¿Podrían compartirnos una muestra de los mensajes sobre la </w:t>
            </w:r>
            <w:r w:rsidR="00B316FF">
              <w:rPr>
                <w:lang w:val="es-CO" w:bidi="es-CO"/>
              </w:rPr>
              <w:t>educación en el riesgo de artefactos explosivos</w:t>
            </w:r>
            <w:r w:rsidRPr="00D714C1">
              <w:rPr>
                <w:lang w:val="es-CO" w:bidi="es-CO"/>
              </w:rPr>
              <w:t xml:space="preserve"> integrados con los mensajes sobre la COVID-19?</w:t>
            </w:r>
          </w:p>
          <w:p w14:paraId="2C4C0A49" w14:textId="459D9BB0" w:rsidR="00E51807" w:rsidRPr="00D714C1" w:rsidRDefault="00E51807" w:rsidP="00885967">
            <w:pPr>
              <w:pStyle w:val="BulletinTable"/>
              <w:rPr>
                <w:lang w:val="es-CO"/>
              </w:rPr>
            </w:pPr>
            <w:r w:rsidRPr="00D714C1">
              <w:rPr>
                <w:lang w:val="es-CO" w:bidi="es-CO"/>
              </w:rPr>
              <w:t xml:space="preserve">¿Hay manera de que los distintos programas compartan sus mensajes clave que integran la COVID-19 y la </w:t>
            </w:r>
            <w:r w:rsidR="00B316FF">
              <w:rPr>
                <w:lang w:val="es-CO" w:bidi="es-CO"/>
              </w:rPr>
              <w:t>educación en el riesgo de artefactos explosivos</w:t>
            </w:r>
            <w:r w:rsidRPr="00D714C1">
              <w:rPr>
                <w:lang w:val="es-CO" w:bidi="es-CO"/>
              </w:rPr>
              <w:t>?</w:t>
            </w:r>
          </w:p>
          <w:p w14:paraId="4796E22D" w14:textId="1AD32FDE" w:rsidR="00E51807" w:rsidRPr="00D714C1" w:rsidRDefault="00E51807" w:rsidP="00885967">
            <w:pPr>
              <w:pStyle w:val="BulletinTable"/>
              <w:numPr>
                <w:ilvl w:val="0"/>
                <w:numId w:val="0"/>
              </w:numPr>
              <w:ind w:left="720"/>
              <w:rPr>
                <w:lang w:val="es-CO"/>
              </w:rPr>
            </w:pPr>
          </w:p>
        </w:tc>
        <w:tc>
          <w:tcPr>
            <w:tcW w:w="11340" w:type="dxa"/>
            <w:shd w:val="clear" w:color="auto" w:fill="E1E9EF" w:themeFill="accent3" w:themeFillTint="33"/>
          </w:tcPr>
          <w:p w14:paraId="0467ACA7" w14:textId="4EDA057A" w:rsidR="00E51807" w:rsidRPr="00D714C1" w:rsidRDefault="31B9352B" w:rsidP="00A43E43">
            <w:pPr>
              <w:spacing w:before="0" w:after="0"/>
              <w:jc w:val="left"/>
              <w:rPr>
                <w:lang w:val="es-CO"/>
              </w:rPr>
            </w:pPr>
            <w:r w:rsidRPr="00D714C1">
              <w:rPr>
                <w:lang w:val="es-CO" w:bidi="es-CO"/>
              </w:rPr>
              <w:t xml:space="preserve">Se pueden usar la fuerza de trabajo, la infraestructura y las redes de la </w:t>
            </w:r>
            <w:r w:rsidR="00B316FF">
              <w:rPr>
                <w:lang w:val="es-CO" w:bidi="es-CO"/>
              </w:rPr>
              <w:t>educación en el riesgo de artefactos explosivos</w:t>
            </w:r>
            <w:r w:rsidRPr="00D714C1">
              <w:rPr>
                <w:lang w:val="es-CO" w:bidi="es-CO"/>
              </w:rPr>
              <w:t xml:space="preserve"> en la respuesta a la COVID-19. Ese proceso puede asumir diferentes formas; p. ej., se puede transformar una campaña de radio/TV/SMS de </w:t>
            </w:r>
            <w:r w:rsidR="00B316FF">
              <w:rPr>
                <w:lang w:val="es-CO" w:bidi="es-CO"/>
              </w:rPr>
              <w:t>educación en el riesgo de artefactos explosivos</w:t>
            </w:r>
            <w:r w:rsidRPr="00D714C1">
              <w:rPr>
                <w:lang w:val="es-CO" w:bidi="es-CO"/>
              </w:rPr>
              <w:t xml:space="preserve"> en educación de riesgos de COVID; o las nuevas herramientas de educación de riesgos pueden integrar mensajes conjuntos de </w:t>
            </w:r>
            <w:r w:rsidR="00B316FF">
              <w:rPr>
                <w:lang w:val="es-CO" w:bidi="es-CO"/>
              </w:rPr>
              <w:t>educación en el riesgo de artefactos explosivos</w:t>
            </w:r>
            <w:r w:rsidRPr="00D714C1">
              <w:rPr>
                <w:lang w:val="es-CO" w:bidi="es-CO"/>
              </w:rPr>
              <w:t>/educación de riesgos de COVID (p. ej., Palestina, Irak).</w:t>
            </w:r>
          </w:p>
          <w:p w14:paraId="19421F98" w14:textId="18C2D5AD" w:rsidR="00E51807" w:rsidRPr="00D714C1" w:rsidRDefault="00E51807" w:rsidP="00A43E43">
            <w:pPr>
              <w:spacing w:before="0" w:after="0"/>
              <w:jc w:val="left"/>
              <w:rPr>
                <w:lang w:val="es-CO"/>
              </w:rPr>
            </w:pPr>
          </w:p>
          <w:p w14:paraId="058BFDF5" w14:textId="30DF7FF4" w:rsidR="00E51807" w:rsidRPr="00D714C1" w:rsidRDefault="6CE5C1BB" w:rsidP="00A43E43">
            <w:pPr>
              <w:spacing w:before="0" w:after="0"/>
              <w:jc w:val="left"/>
              <w:rPr>
                <w:lang w:val="es-CO"/>
              </w:rPr>
            </w:pPr>
            <w:r w:rsidRPr="00D714C1">
              <w:rPr>
                <w:lang w:val="es-CO" w:bidi="es-CO"/>
              </w:rPr>
              <w:t xml:space="preserve">Según el informe presentado en este webinario, el UNMAS emitió sus normas para que sus programas de campo utilicen materiales de la OMS, de ser posible, y se rijan por los mensajes de la OMS y UNICEF. También se puede mirar cómo incorporar los materiales como parte de la </w:t>
            </w:r>
            <w:r w:rsidR="00B316FF">
              <w:rPr>
                <w:lang w:val="es-CO" w:bidi="es-CO"/>
              </w:rPr>
              <w:t>educación en el riesgo de artefactos explosivos</w:t>
            </w:r>
            <w:r w:rsidRPr="00D714C1">
              <w:rPr>
                <w:lang w:val="es-CO" w:bidi="es-CO"/>
              </w:rPr>
              <w:t xml:space="preserve"> o cambiar por completo y usar espacios en los medios para impartir educación sobre la COVID-19.</w:t>
            </w:r>
          </w:p>
          <w:p w14:paraId="07D06708" w14:textId="77777777" w:rsidR="00E51807" w:rsidRPr="00D714C1" w:rsidRDefault="00E51807" w:rsidP="00A43E43">
            <w:pPr>
              <w:spacing w:before="0" w:after="0"/>
              <w:jc w:val="left"/>
              <w:rPr>
                <w:lang w:val="es-CO"/>
              </w:rPr>
            </w:pPr>
          </w:p>
          <w:p w14:paraId="3C688968" w14:textId="2AF7078A" w:rsidR="00E51807" w:rsidRPr="00D714C1" w:rsidRDefault="31B9352B" w:rsidP="00A43E43">
            <w:pPr>
              <w:spacing w:before="0" w:after="0"/>
              <w:jc w:val="left"/>
              <w:rPr>
                <w:lang w:val="es-CO"/>
              </w:rPr>
            </w:pPr>
            <w:r w:rsidRPr="00D714C1">
              <w:rPr>
                <w:lang w:val="es-CO" w:bidi="es-CO"/>
              </w:rPr>
              <w:t xml:space="preserve">Los proveedores de </w:t>
            </w:r>
            <w:r w:rsidR="00B316FF">
              <w:rPr>
                <w:lang w:val="es-CO" w:bidi="es-CO"/>
              </w:rPr>
              <w:t>educación en el riesgo de artefactos explosivos</w:t>
            </w:r>
            <w:r w:rsidRPr="00D714C1">
              <w:rPr>
                <w:lang w:val="es-CO" w:bidi="es-CO"/>
              </w:rPr>
              <w:t xml:space="preserve"> que tienen previsto incluir mensajes sobre la COVID-19 en sus actividades o sustituir temporalmente la </w:t>
            </w:r>
            <w:r w:rsidR="00B316FF">
              <w:rPr>
                <w:lang w:val="es-CO" w:bidi="es-CO"/>
              </w:rPr>
              <w:t>educación en el riesgo de artefactos explosivos</w:t>
            </w:r>
            <w:r w:rsidRPr="00D714C1">
              <w:rPr>
                <w:lang w:val="es-CO" w:bidi="es-CO"/>
              </w:rPr>
              <w:t xml:space="preserve"> por mensajes sobre la COVID-19 deben recibir capacitación de una institución calificada que sea parte de la respuesta nacional/internacional a la COVID-19. De no ser posible, esos proveedores deben como mínimo asegurar que sus nuevos mensajes, materiales o actividades tengan la aprobación de una institución calificada similar y estén en línea con la orientación global existente. Los educadores con capacitación de COVID-19 deben recibir un certificado formal de su capacitación.</w:t>
            </w:r>
          </w:p>
          <w:p w14:paraId="6172E30E" w14:textId="4351D45A" w:rsidR="00E51807" w:rsidRPr="00D714C1" w:rsidRDefault="00E51807" w:rsidP="00A43E43">
            <w:pPr>
              <w:spacing w:before="0" w:after="0"/>
              <w:jc w:val="left"/>
              <w:rPr>
                <w:lang w:val="es-CO"/>
              </w:rPr>
            </w:pPr>
          </w:p>
          <w:p w14:paraId="55F75764" w14:textId="7932A0C4" w:rsidR="00E51807" w:rsidRPr="00D714C1" w:rsidRDefault="31B9352B" w:rsidP="00A43E43">
            <w:pPr>
              <w:spacing w:before="0" w:after="0"/>
              <w:jc w:val="left"/>
              <w:rPr>
                <w:lang w:val="es-CO"/>
              </w:rPr>
            </w:pPr>
            <w:r w:rsidRPr="00D714C1">
              <w:rPr>
                <w:lang w:val="es-CO" w:bidi="es-CO"/>
              </w:rPr>
              <w:t xml:space="preserve">Respecto de la incorporación básica de mensajes, quizás en folletos, afiches, etc., los operadores deben asegurarse de que están llenando una brecha aparente en la respuesta nacional a la COVID-19 y se deben probar en el campo todos los materiales nuevos. (A modo de analogía, recuerden que los proveedores de </w:t>
            </w:r>
            <w:r w:rsidR="00B316FF">
              <w:rPr>
                <w:lang w:val="es-CO" w:bidi="es-CO"/>
              </w:rPr>
              <w:t>educación en el riesgo de artefactos explosivos</w:t>
            </w:r>
            <w:r w:rsidRPr="00D714C1">
              <w:rPr>
                <w:lang w:val="es-CO" w:bidi="es-CO"/>
              </w:rPr>
              <w:t xml:space="preserve"> no suelen sentirse contentos cuando otras agencias dictan </w:t>
            </w:r>
            <w:r w:rsidR="00B316FF">
              <w:rPr>
                <w:lang w:val="es-CO" w:bidi="es-CO"/>
              </w:rPr>
              <w:t>educación en el riesgo de artefactos explosivos</w:t>
            </w:r>
            <w:r w:rsidRPr="00D714C1">
              <w:rPr>
                <w:lang w:val="es-CO" w:bidi="es-CO"/>
              </w:rPr>
              <w:t xml:space="preserve"> que quizás no cumple las normas y estándares internacionales de acción contra minas).</w:t>
            </w:r>
          </w:p>
          <w:p w14:paraId="387A87CA" w14:textId="6C6DEE88" w:rsidR="5D3E4C93" w:rsidRPr="00D714C1" w:rsidRDefault="5D3E4C93" w:rsidP="098937A5">
            <w:pPr>
              <w:pStyle w:val="BulletinTable"/>
              <w:numPr>
                <w:ilvl w:val="0"/>
                <w:numId w:val="0"/>
              </w:numPr>
              <w:rPr>
                <w:rFonts w:eastAsia="Microsoft YaHei UI"/>
                <w:lang w:val="es-CO" w:eastAsia="en-GB"/>
              </w:rPr>
            </w:pPr>
            <w:r w:rsidRPr="00D714C1">
              <w:rPr>
                <w:rFonts w:eastAsia="Microsoft YaHei UI"/>
                <w:lang w:val="es-CO" w:bidi="es-CO"/>
              </w:rPr>
              <w:t>Algunos ejemplos de integración:</w:t>
            </w:r>
          </w:p>
          <w:p w14:paraId="1E8E94E5" w14:textId="28E2B3EA" w:rsidR="00E51807" w:rsidRPr="00D714C1" w:rsidRDefault="31B9352B" w:rsidP="098937A5">
            <w:pPr>
              <w:pStyle w:val="BulletLevel1"/>
              <w:rPr>
                <w:lang w:val="es-CO" w:eastAsia="en-GB"/>
              </w:rPr>
            </w:pPr>
            <w:r w:rsidRPr="00D714C1">
              <w:rPr>
                <w:lang w:val="es-CO" w:bidi="es-CO"/>
              </w:rPr>
              <w:t xml:space="preserve">En Irak combinaron los mensajes de </w:t>
            </w:r>
            <w:r w:rsidR="00B316FF">
              <w:rPr>
                <w:lang w:val="es-CO" w:bidi="es-CO"/>
              </w:rPr>
              <w:t>educación en el riesgo de artefactos explosivos</w:t>
            </w:r>
            <w:r w:rsidRPr="00D714C1">
              <w:rPr>
                <w:lang w:val="es-CO" w:bidi="es-CO"/>
              </w:rPr>
              <w:t xml:space="preserve"> con los de COVID. En la ONG IHSCO sacaron los mensajes básicos de la OMS; entrenaron a los médicos de otros programas y contactaron al Ministerio de Salud para tener mensajes actualizados. También distribuyeron kits de higiene contra COVID y les pegaron etiquetas con mensajes de emergencia cortos mientras los distribuían.</w:t>
            </w:r>
          </w:p>
          <w:p w14:paraId="05B5FDFD" w14:textId="01157D99" w:rsidR="00E51807" w:rsidRPr="00D714C1" w:rsidRDefault="31B9352B" w:rsidP="098937A5">
            <w:pPr>
              <w:pStyle w:val="BulletLevel1"/>
              <w:rPr>
                <w:lang w:val="es-CO"/>
              </w:rPr>
            </w:pPr>
            <w:r w:rsidRPr="00D714C1">
              <w:rPr>
                <w:lang w:val="es-CO" w:bidi="es-CO"/>
              </w:rPr>
              <w:t xml:space="preserve">En Yemen los equipos de </w:t>
            </w:r>
            <w:r w:rsidR="00B316FF">
              <w:rPr>
                <w:lang w:val="es-CO" w:bidi="es-CO"/>
              </w:rPr>
              <w:t>educación en el riesgo de artefactos explosivos</w:t>
            </w:r>
            <w:r w:rsidRPr="00D714C1">
              <w:rPr>
                <w:lang w:val="es-CO" w:bidi="es-CO"/>
              </w:rPr>
              <w:t xml:space="preserve"> también quieren integrar la </w:t>
            </w:r>
            <w:r w:rsidR="00B316FF">
              <w:rPr>
                <w:lang w:val="es-CO" w:bidi="es-CO"/>
              </w:rPr>
              <w:t>educación en el riesgo de artefactos explosivos</w:t>
            </w:r>
            <w:r w:rsidRPr="00D714C1">
              <w:rPr>
                <w:lang w:val="es-CO" w:bidi="es-CO"/>
              </w:rPr>
              <w:t xml:space="preserve"> con los trabajadores de la salud que cuentan con capacitación de respuesta de Protección de la Infancia.</w:t>
            </w:r>
          </w:p>
          <w:p w14:paraId="116734DF" w14:textId="3B2E51B3" w:rsidR="00E51807" w:rsidRPr="00D714C1" w:rsidRDefault="31B9352B" w:rsidP="00A43E43">
            <w:pPr>
              <w:spacing w:before="0" w:after="0"/>
              <w:jc w:val="left"/>
              <w:rPr>
                <w:lang w:val="es-CO"/>
              </w:rPr>
            </w:pPr>
            <w:r w:rsidRPr="00D714C1">
              <w:rPr>
                <w:lang w:val="es-CO" w:bidi="es-CO"/>
              </w:rPr>
              <w:t xml:space="preserve">Compartan sus experiencias, triunfos, fracasos o lecciones aprendidas sobre educación de riesgos de COVID con los socios de </w:t>
            </w:r>
            <w:r w:rsidR="00B316FF">
              <w:rPr>
                <w:lang w:val="es-CO" w:bidi="es-CO"/>
              </w:rPr>
              <w:t>educación en el riesgo de artefactos explosivos</w:t>
            </w:r>
            <w:r w:rsidRPr="00D714C1">
              <w:rPr>
                <w:lang w:val="es-CO" w:bidi="es-CO"/>
              </w:rPr>
              <w:t xml:space="preserve">, por ejemplo, a través del </w:t>
            </w:r>
            <w:r w:rsidR="00A07D20">
              <w:fldChar w:fldCharType="begin"/>
            </w:r>
            <w:r w:rsidR="00A07D20" w:rsidRPr="00A07D20">
              <w:rPr>
                <w:lang w:val="es-ES"/>
              </w:rPr>
              <w:instrText xml:space="preserve"> HYPERLINK "https://dgroups.org/groups/imrewg" </w:instrText>
            </w:r>
            <w:r w:rsidR="00A07D20">
              <w:fldChar w:fldCharType="separate"/>
            </w:r>
            <w:r w:rsidRPr="00D714C1">
              <w:rPr>
                <w:lang w:val="es-CO" w:bidi="es-CO"/>
              </w:rPr>
              <w:t>Grupo de Trabajo Internacional de Educación de Riesgos de Minas</w:t>
            </w:r>
            <w:r w:rsidR="00A07D20">
              <w:rPr>
                <w:lang w:val="es-CO" w:bidi="es-CO"/>
              </w:rPr>
              <w:fldChar w:fldCharType="end"/>
            </w:r>
            <w:r w:rsidR="6B048EFF" w:rsidRPr="00D714C1">
              <w:rPr>
                <w:rStyle w:val="Hyperlink"/>
                <w:lang w:val="es-CO" w:bidi="es-CO"/>
              </w:rPr>
              <w:t>.</w:t>
            </w:r>
          </w:p>
        </w:tc>
        <w:tc>
          <w:tcPr>
            <w:tcW w:w="3174" w:type="dxa"/>
            <w:shd w:val="clear" w:color="auto" w:fill="FFFFFF" w:themeFill="background1"/>
          </w:tcPr>
          <w:p w14:paraId="2854B114" w14:textId="17E3D026" w:rsidR="00E51807" w:rsidRPr="00D714C1" w:rsidRDefault="00A07D20" w:rsidP="00566522">
            <w:pPr>
              <w:pStyle w:val="BulletinTable"/>
              <w:numPr>
                <w:ilvl w:val="0"/>
                <w:numId w:val="0"/>
              </w:numPr>
              <w:rPr>
                <w:lang w:val="es-CO"/>
              </w:rPr>
            </w:pPr>
            <w:r>
              <w:fldChar w:fldCharType="begin"/>
            </w:r>
            <w:r w:rsidRPr="00A07D20">
              <w:rPr>
                <w:lang w:val="es-ES"/>
              </w:rPr>
              <w:instrText xml:space="preserve"> HYPERLINK "https://unicef-my.sharepoint.com/:f:/g/personal/hlaurenge_unicef_org1/EvpMqEfJZxZFu-PirHQ</w:instrText>
            </w:r>
            <w:r w:rsidRPr="00A07D20">
              <w:rPr>
                <w:lang w:val="es-ES"/>
              </w:rPr>
              <w:instrText xml:space="preserve">bt8kBy10vby9JAzo31ozqln5adQ?e=BfPPhr" </w:instrText>
            </w:r>
            <w:r>
              <w:fldChar w:fldCharType="separate"/>
            </w:r>
            <w:r w:rsidR="00E51807" w:rsidRPr="00D714C1">
              <w:rPr>
                <w:rStyle w:val="Hyperlink"/>
                <w:lang w:val="es-CO" w:bidi="es-CO"/>
              </w:rPr>
              <w:t>Ejemplos de educación integrada de riesgos de artefactos explosivos/COVID</w:t>
            </w:r>
            <w:r>
              <w:rPr>
                <w:rStyle w:val="Hyperlink"/>
                <w:lang w:val="es-CO" w:bidi="es-CO"/>
              </w:rPr>
              <w:fldChar w:fldCharType="end"/>
            </w:r>
            <w:r w:rsidR="00E51807" w:rsidRPr="00D714C1">
              <w:rPr>
                <w:lang w:val="es-CO" w:bidi="es-CO"/>
              </w:rPr>
              <w:t xml:space="preserve"> </w:t>
            </w:r>
          </w:p>
          <w:p w14:paraId="19B4F462" w14:textId="4E101E61" w:rsidR="00E51807" w:rsidRPr="00D714C1" w:rsidRDefault="00E51807" w:rsidP="00566522">
            <w:pPr>
              <w:pStyle w:val="BulletinTable"/>
              <w:numPr>
                <w:ilvl w:val="0"/>
                <w:numId w:val="0"/>
              </w:numPr>
              <w:rPr>
                <w:lang w:val="es-CO"/>
              </w:rPr>
            </w:pPr>
          </w:p>
          <w:p w14:paraId="5B6A53B7" w14:textId="191A8393" w:rsidR="00E51807" w:rsidRPr="00D714C1" w:rsidRDefault="00E51807" w:rsidP="00566522">
            <w:pPr>
              <w:pStyle w:val="BulletinTable"/>
              <w:numPr>
                <w:ilvl w:val="0"/>
                <w:numId w:val="0"/>
              </w:numPr>
              <w:rPr>
                <w:lang w:val="es-CO"/>
              </w:rPr>
            </w:pPr>
          </w:p>
          <w:p w14:paraId="29366E0E" w14:textId="2828C5C9" w:rsidR="00E51807" w:rsidRPr="00D714C1" w:rsidRDefault="00E51807" w:rsidP="00566522">
            <w:pPr>
              <w:pStyle w:val="BulletinTable"/>
              <w:numPr>
                <w:ilvl w:val="0"/>
                <w:numId w:val="0"/>
              </w:numPr>
              <w:rPr>
                <w:lang w:val="es-CO"/>
              </w:rPr>
            </w:pPr>
          </w:p>
          <w:p w14:paraId="3F387A6C" w14:textId="74BD693B" w:rsidR="00E51807" w:rsidRPr="00D714C1" w:rsidRDefault="00E51807" w:rsidP="00566522">
            <w:pPr>
              <w:pStyle w:val="BulletinTable"/>
              <w:numPr>
                <w:ilvl w:val="0"/>
                <w:numId w:val="0"/>
              </w:numPr>
              <w:rPr>
                <w:lang w:val="es-CO"/>
              </w:rPr>
            </w:pPr>
          </w:p>
          <w:p w14:paraId="217B0122" w14:textId="06E74335" w:rsidR="00E51807" w:rsidRPr="00D714C1" w:rsidRDefault="00E51807" w:rsidP="00566522">
            <w:pPr>
              <w:pStyle w:val="BulletinTable"/>
              <w:numPr>
                <w:ilvl w:val="0"/>
                <w:numId w:val="0"/>
              </w:numPr>
              <w:rPr>
                <w:lang w:val="es-CO"/>
              </w:rPr>
            </w:pPr>
          </w:p>
          <w:p w14:paraId="7109F129" w14:textId="2575B8D8" w:rsidR="00E51807" w:rsidRPr="00D714C1" w:rsidRDefault="00E51807" w:rsidP="00566522">
            <w:pPr>
              <w:pStyle w:val="BulletinTable"/>
              <w:numPr>
                <w:ilvl w:val="0"/>
                <w:numId w:val="0"/>
              </w:numPr>
              <w:rPr>
                <w:lang w:val="es-CO"/>
              </w:rPr>
            </w:pPr>
          </w:p>
          <w:p w14:paraId="3040EF31" w14:textId="4624F188" w:rsidR="00E51807" w:rsidRPr="00D714C1" w:rsidRDefault="00E51807" w:rsidP="00566522">
            <w:pPr>
              <w:pStyle w:val="BulletinTable"/>
              <w:numPr>
                <w:ilvl w:val="0"/>
                <w:numId w:val="0"/>
              </w:numPr>
              <w:rPr>
                <w:lang w:val="es-CO"/>
              </w:rPr>
            </w:pPr>
          </w:p>
          <w:p w14:paraId="1252DA3B" w14:textId="0F8ACB86" w:rsidR="00E51807" w:rsidRPr="00D714C1" w:rsidRDefault="00E51807" w:rsidP="00566522">
            <w:pPr>
              <w:pStyle w:val="BulletinTable"/>
              <w:numPr>
                <w:ilvl w:val="0"/>
                <w:numId w:val="0"/>
              </w:numPr>
              <w:rPr>
                <w:lang w:val="es-CO"/>
              </w:rPr>
            </w:pPr>
          </w:p>
          <w:p w14:paraId="5AAE8F19" w14:textId="75B48D7E" w:rsidR="00E51807" w:rsidRPr="00D714C1" w:rsidRDefault="00E51807" w:rsidP="00566522">
            <w:pPr>
              <w:pStyle w:val="BulletinTable"/>
              <w:numPr>
                <w:ilvl w:val="0"/>
                <w:numId w:val="0"/>
              </w:numPr>
              <w:rPr>
                <w:lang w:val="es-CO"/>
              </w:rPr>
            </w:pPr>
          </w:p>
          <w:p w14:paraId="2AA50BB1" w14:textId="18BE54F4" w:rsidR="00E51807" w:rsidRPr="00D714C1" w:rsidRDefault="00E51807" w:rsidP="00566522">
            <w:pPr>
              <w:pStyle w:val="BulletinTable"/>
              <w:numPr>
                <w:ilvl w:val="0"/>
                <w:numId w:val="0"/>
              </w:numPr>
              <w:rPr>
                <w:lang w:val="es-CO"/>
              </w:rPr>
            </w:pPr>
          </w:p>
          <w:p w14:paraId="58CDCB56" w14:textId="69FE9302" w:rsidR="00E51807" w:rsidRPr="00D714C1" w:rsidRDefault="00E51807" w:rsidP="00566522">
            <w:pPr>
              <w:pStyle w:val="BulletinTable"/>
              <w:numPr>
                <w:ilvl w:val="0"/>
                <w:numId w:val="0"/>
              </w:numPr>
              <w:rPr>
                <w:lang w:val="es-CO"/>
              </w:rPr>
            </w:pPr>
          </w:p>
          <w:p w14:paraId="665A9BBA" w14:textId="3D150CE8" w:rsidR="00E51807" w:rsidRPr="00D714C1" w:rsidRDefault="00E51807" w:rsidP="00566522">
            <w:pPr>
              <w:pStyle w:val="BulletinTable"/>
              <w:numPr>
                <w:ilvl w:val="0"/>
                <w:numId w:val="0"/>
              </w:numPr>
              <w:rPr>
                <w:lang w:val="es-CO"/>
              </w:rPr>
            </w:pPr>
          </w:p>
          <w:p w14:paraId="0B7956E2" w14:textId="4906D413" w:rsidR="00E51807" w:rsidRPr="00D714C1" w:rsidRDefault="00E51807" w:rsidP="00566522">
            <w:pPr>
              <w:pStyle w:val="BulletinTable"/>
              <w:numPr>
                <w:ilvl w:val="0"/>
                <w:numId w:val="0"/>
              </w:numPr>
              <w:rPr>
                <w:lang w:val="es-CO"/>
              </w:rPr>
            </w:pPr>
          </w:p>
          <w:p w14:paraId="2602AAAE" w14:textId="2565FB04" w:rsidR="00E51807" w:rsidRPr="00D714C1" w:rsidRDefault="00E51807" w:rsidP="00566522">
            <w:pPr>
              <w:pStyle w:val="BulletinTable"/>
              <w:numPr>
                <w:ilvl w:val="0"/>
                <w:numId w:val="0"/>
              </w:numPr>
              <w:rPr>
                <w:lang w:val="es-CO"/>
              </w:rPr>
            </w:pPr>
          </w:p>
          <w:p w14:paraId="545BA0CB" w14:textId="77777777" w:rsidR="006D5211" w:rsidRPr="00D714C1" w:rsidRDefault="006D5211" w:rsidP="00566522">
            <w:pPr>
              <w:pStyle w:val="BulletinTable"/>
              <w:numPr>
                <w:ilvl w:val="0"/>
                <w:numId w:val="0"/>
              </w:numPr>
              <w:rPr>
                <w:lang w:val="es-CO"/>
              </w:rPr>
            </w:pPr>
          </w:p>
          <w:p w14:paraId="6259B5A8" w14:textId="269ACCAB" w:rsidR="00E51807" w:rsidRPr="00D714C1" w:rsidRDefault="00E51807" w:rsidP="00566522">
            <w:pPr>
              <w:pStyle w:val="BulletinTable"/>
              <w:numPr>
                <w:ilvl w:val="0"/>
                <w:numId w:val="0"/>
              </w:numPr>
              <w:rPr>
                <w:lang w:val="es-CO"/>
              </w:rPr>
            </w:pPr>
          </w:p>
          <w:p w14:paraId="1BAA7F69" w14:textId="74E6D43B" w:rsidR="00E51807" w:rsidRPr="00D714C1" w:rsidRDefault="00A07D20" w:rsidP="00566522">
            <w:pPr>
              <w:pStyle w:val="BulletinTable"/>
              <w:numPr>
                <w:ilvl w:val="0"/>
                <w:numId w:val="0"/>
              </w:numPr>
              <w:rPr>
                <w:lang w:val="es-CO"/>
              </w:rPr>
            </w:pPr>
            <w:r>
              <w:fldChar w:fldCharType="begin"/>
            </w:r>
            <w:r w:rsidRPr="00A07D20">
              <w:rPr>
                <w:lang w:val="es-ES"/>
              </w:rPr>
              <w:instrText xml:space="preserve"> HYPERLINK "https://unicef-my.sharepoint.com/:w:/g/personal/hlaurenge_unicef_org1/EcEaokVHk81PrJc5J4QsrXkBvuiLhcxNKeipNhALHiqtjg?e=bfVTWU" \h </w:instrText>
            </w:r>
            <w:r>
              <w:fldChar w:fldCharType="separate"/>
            </w:r>
            <w:r w:rsidR="00E51807" w:rsidRPr="00D714C1">
              <w:rPr>
                <w:rStyle w:val="Hyperlink"/>
                <w:lang w:val="es-CO" w:bidi="es-CO"/>
              </w:rPr>
              <w:t xml:space="preserve">Webinario de </w:t>
            </w:r>
            <w:r w:rsidR="00B316FF">
              <w:rPr>
                <w:rStyle w:val="Hyperlink"/>
                <w:lang w:val="es-CO" w:bidi="es-CO"/>
              </w:rPr>
              <w:t>educación en el riesgo de artefactos explosivos</w:t>
            </w:r>
            <w:r w:rsidR="00E51807" w:rsidRPr="00D714C1">
              <w:rPr>
                <w:rStyle w:val="Hyperlink"/>
                <w:lang w:val="es-CO" w:bidi="es-CO"/>
              </w:rPr>
              <w:t>-COVID-19 (1 de abril)</w:t>
            </w:r>
            <w:r>
              <w:rPr>
                <w:rStyle w:val="Hyperlink"/>
                <w:lang w:val="es-CO" w:bidi="es-CO"/>
              </w:rPr>
              <w:fldChar w:fldCharType="end"/>
            </w:r>
          </w:p>
          <w:p w14:paraId="00E7FA55" w14:textId="77777777" w:rsidR="00E51807" w:rsidRPr="00D714C1" w:rsidRDefault="00E51807" w:rsidP="00A43E43">
            <w:pPr>
              <w:spacing w:before="0" w:after="0"/>
              <w:jc w:val="left"/>
              <w:rPr>
                <w:lang w:val="es-CO"/>
              </w:rPr>
            </w:pPr>
          </w:p>
        </w:tc>
      </w:tr>
      <w:tr w:rsidR="00E51807" w:rsidRPr="00A07D20" w14:paraId="6C2507BE" w14:textId="5E7B32EB" w:rsidTr="00BF0BF9">
        <w:trPr>
          <w:cantSplit/>
        </w:trPr>
        <w:tc>
          <w:tcPr>
            <w:tcW w:w="2605" w:type="dxa"/>
            <w:shd w:val="clear" w:color="auto" w:fill="E1E9EF" w:themeFill="accent3" w:themeFillTint="33"/>
          </w:tcPr>
          <w:p w14:paraId="7D3E815F" w14:textId="2EA9F434" w:rsidR="00E51807" w:rsidRPr="00D714C1" w:rsidRDefault="00E51807" w:rsidP="00A43E43">
            <w:pPr>
              <w:pStyle w:val="Bold"/>
              <w:rPr>
                <w:lang w:val="es-CO"/>
              </w:rPr>
            </w:pPr>
            <w:r w:rsidRPr="00D714C1">
              <w:rPr>
                <w:lang w:val="es-CO" w:bidi="es-CO"/>
              </w:rPr>
              <w:lastRenderedPageBreak/>
              <w:t>¿Hay mensajes convenidos o sugeridos sobre la COVID-19?</w:t>
            </w:r>
          </w:p>
        </w:tc>
        <w:tc>
          <w:tcPr>
            <w:tcW w:w="4140" w:type="dxa"/>
          </w:tcPr>
          <w:p w14:paraId="768E26EB" w14:textId="7FEC2519" w:rsidR="00E51807" w:rsidRPr="00D714C1" w:rsidRDefault="00E51807" w:rsidP="00A43E43">
            <w:pPr>
              <w:pStyle w:val="BulletinTable"/>
              <w:rPr>
                <w:lang w:val="es-CO"/>
              </w:rPr>
            </w:pPr>
            <w:r w:rsidRPr="00D714C1">
              <w:rPr>
                <w:lang w:val="es-CO" w:bidi="es-CO"/>
              </w:rPr>
              <w:t>Quisiera saber más del contenido de los “mensajes sobre la COVID-19”. ¿Qué mensajes principales les presentan? ¿Desarrolló el sector de la salud el contenido o es propio de su organización? ¿Les informan a los beneficiarios sobre la COVID-19 al iniciar o al terminar las sesiones de educación de riesgos?</w:t>
            </w:r>
          </w:p>
          <w:p w14:paraId="181F53A9" w14:textId="75486EB0" w:rsidR="00E51807" w:rsidRPr="00D714C1" w:rsidRDefault="00E51807" w:rsidP="00885967">
            <w:pPr>
              <w:pStyle w:val="BulletinTable"/>
              <w:numPr>
                <w:ilvl w:val="0"/>
                <w:numId w:val="0"/>
              </w:numPr>
              <w:ind w:left="720"/>
              <w:rPr>
                <w:lang w:val="es-CO"/>
              </w:rPr>
            </w:pPr>
          </w:p>
        </w:tc>
        <w:tc>
          <w:tcPr>
            <w:tcW w:w="11340" w:type="dxa"/>
            <w:shd w:val="clear" w:color="auto" w:fill="E1E9EF" w:themeFill="accent3" w:themeFillTint="33"/>
          </w:tcPr>
          <w:p w14:paraId="26F28865" w14:textId="191DBA60" w:rsidR="00E51807" w:rsidRPr="00D714C1" w:rsidRDefault="31B9352B" w:rsidP="00A43E43">
            <w:pPr>
              <w:spacing w:before="0" w:after="0"/>
              <w:jc w:val="left"/>
              <w:rPr>
                <w:lang w:val="es-CO"/>
              </w:rPr>
            </w:pPr>
            <w:r w:rsidRPr="00D714C1">
              <w:rPr>
                <w:lang w:val="es-CO" w:bidi="es-CO"/>
              </w:rPr>
              <w:t xml:space="preserve">Sigan la orientación de la OMS, UNICEF, FICR y el CDC. </w:t>
            </w:r>
          </w:p>
          <w:p w14:paraId="331BCE86" w14:textId="77777777" w:rsidR="00E51807" w:rsidRPr="00D714C1" w:rsidRDefault="00E51807" w:rsidP="00A43E43">
            <w:pPr>
              <w:spacing w:before="0" w:after="0"/>
              <w:jc w:val="left"/>
              <w:rPr>
                <w:lang w:val="es-CO"/>
              </w:rPr>
            </w:pPr>
          </w:p>
          <w:p w14:paraId="60BFD519" w14:textId="1003CADC" w:rsidR="00E51807" w:rsidRPr="00D714C1" w:rsidRDefault="31B9352B" w:rsidP="00A43E43">
            <w:pPr>
              <w:spacing w:before="0" w:after="0"/>
              <w:jc w:val="left"/>
              <w:rPr>
                <w:lang w:val="es-CO"/>
              </w:rPr>
            </w:pPr>
            <w:r w:rsidRPr="00D714C1">
              <w:rPr>
                <w:lang w:val="es-CO" w:bidi="es-CO"/>
              </w:rPr>
              <w:t xml:space="preserve">Vean los ejemplos de mensajes integrados de </w:t>
            </w:r>
            <w:r w:rsidR="00B316FF">
              <w:rPr>
                <w:lang w:val="es-CO" w:bidi="es-CO"/>
              </w:rPr>
              <w:t>educación en el riesgo de artefactos explosivos</w:t>
            </w:r>
            <w:r w:rsidRPr="00D714C1">
              <w:rPr>
                <w:lang w:val="es-CO" w:bidi="es-CO"/>
              </w:rPr>
              <w:t>/educación de riesgos de COVID de los distintos programas, incluidos los de Irak, Palestina y Siria.</w:t>
            </w:r>
          </w:p>
          <w:p w14:paraId="1AC7556D" w14:textId="34C861CD" w:rsidR="00E51807" w:rsidRPr="00D714C1" w:rsidRDefault="00E51807" w:rsidP="098937A5">
            <w:pPr>
              <w:spacing w:before="0" w:after="0"/>
              <w:jc w:val="left"/>
              <w:rPr>
                <w:lang w:val="es-CO"/>
              </w:rPr>
            </w:pPr>
          </w:p>
        </w:tc>
        <w:tc>
          <w:tcPr>
            <w:tcW w:w="3174" w:type="dxa"/>
            <w:shd w:val="clear" w:color="auto" w:fill="FFFFFF" w:themeFill="background1"/>
          </w:tcPr>
          <w:p w14:paraId="472A5ECF" w14:textId="2C62A1F0" w:rsidR="00E51807" w:rsidRPr="00D714C1" w:rsidRDefault="00A07D20" w:rsidP="00A43E43">
            <w:pPr>
              <w:spacing w:before="0" w:after="0"/>
              <w:jc w:val="left"/>
              <w:rPr>
                <w:lang w:val="es-CO"/>
              </w:rPr>
            </w:pPr>
            <w:r>
              <w:fldChar w:fldCharType="begin"/>
            </w:r>
            <w:r w:rsidRPr="00A07D20">
              <w:rPr>
                <w:lang w:val="es-ES"/>
              </w:rPr>
              <w:instrText xml:space="preserve"> HYPERLINK "https://www.unicef.org/media/65926/file/COVID-19:%20Key%20tips%20and%20discussion%20points%20for%20community%20workers%20and%20volunteers.pdf" \h </w:instrText>
            </w:r>
            <w:r>
              <w:fldChar w:fldCharType="separate"/>
            </w:r>
            <w:r w:rsidR="31B9352B" w:rsidRPr="00D714C1">
              <w:rPr>
                <w:rStyle w:val="Hyperlink"/>
                <w:lang w:val="es-CO" w:bidi="es-CO"/>
              </w:rPr>
              <w:t>Consejos clave y puntos de debate para los trabajadores comunitarios, voluntarios y redes comunitarias</w:t>
            </w:r>
            <w:r>
              <w:rPr>
                <w:rStyle w:val="Hyperlink"/>
                <w:lang w:val="es-CO" w:bidi="es-CO"/>
              </w:rPr>
              <w:fldChar w:fldCharType="end"/>
            </w:r>
            <w:r w:rsidR="31B9352B" w:rsidRPr="00D714C1">
              <w:rPr>
                <w:lang w:val="es-CO" w:bidi="es-CO"/>
              </w:rPr>
              <w:t xml:space="preserve"> - FICR, UNICEF, OMS</w:t>
            </w:r>
          </w:p>
          <w:p w14:paraId="1EC616AF" w14:textId="5A4BC671" w:rsidR="781C17F4" w:rsidRPr="00D714C1" w:rsidRDefault="781C17F4" w:rsidP="781C17F4">
            <w:pPr>
              <w:spacing w:before="0" w:after="0"/>
              <w:jc w:val="left"/>
              <w:rPr>
                <w:lang w:val="es-CO"/>
              </w:rPr>
            </w:pPr>
          </w:p>
          <w:p w14:paraId="53446E85" w14:textId="08B73E59" w:rsidR="00E51807" w:rsidRPr="00D714C1" w:rsidRDefault="00A07D20" w:rsidP="00A43E43">
            <w:pPr>
              <w:spacing w:before="0" w:after="0"/>
              <w:jc w:val="left"/>
              <w:rPr>
                <w:lang w:val="es-CO"/>
              </w:rPr>
            </w:pPr>
            <w:r>
              <w:fldChar w:fldCharType="begin"/>
            </w:r>
            <w:r w:rsidRPr="00A07D20">
              <w:rPr>
                <w:lang w:val="es-ES"/>
              </w:rPr>
              <w:instrText xml:space="preserve"> HYPERLINK "https://www.unicef.org/media/66401/file/WASH-COVID-19-hygiene-programming-guidance-2020.pdf" </w:instrText>
            </w:r>
            <w:r>
              <w:fldChar w:fldCharType="separate"/>
            </w:r>
            <w:r w:rsidR="00E51807" w:rsidRPr="00D714C1">
              <w:rPr>
                <w:rStyle w:val="Hyperlink"/>
                <w:lang w:val="es-CO" w:bidi="es-CO"/>
              </w:rPr>
              <w:t>Nota de la Guía del Programa de Higiene del UNICEF</w:t>
            </w:r>
            <w:r>
              <w:rPr>
                <w:rStyle w:val="Hyperlink"/>
                <w:lang w:val="es-CO" w:bidi="es-CO"/>
              </w:rPr>
              <w:fldChar w:fldCharType="end"/>
            </w:r>
            <w:r w:rsidR="00E51807" w:rsidRPr="00D714C1">
              <w:rPr>
                <w:lang w:val="es-CO" w:bidi="es-CO"/>
              </w:rPr>
              <w:t xml:space="preserve"> (página 3)</w:t>
            </w:r>
          </w:p>
          <w:p w14:paraId="375D4960" w14:textId="406FBAD9" w:rsidR="00E51807" w:rsidRPr="00D714C1" w:rsidRDefault="00A07D20" w:rsidP="098937A5">
            <w:pPr>
              <w:pStyle w:val="BulletinTable"/>
              <w:numPr>
                <w:ilvl w:val="0"/>
                <w:numId w:val="0"/>
              </w:numPr>
              <w:spacing w:before="0" w:after="0"/>
              <w:rPr>
                <w:lang w:val="es-CO"/>
              </w:rPr>
            </w:pPr>
            <w:r>
              <w:fldChar w:fldCharType="begin"/>
            </w:r>
            <w:r w:rsidRPr="00A07D20">
              <w:rPr>
                <w:lang w:val="es-ES"/>
              </w:rPr>
              <w:instrText xml:space="preserve"> HYPERLINK "https://unicef-my.sharepoint.com/:f:/g/personal/hlaurenge_unicef_org1/EvpMqEfJZxZFu-PirHQbt8kBy10vby9JAzo31ozqln5adQ?e=BfPPhr" \h </w:instrText>
            </w:r>
            <w:r>
              <w:fldChar w:fldCharType="separate"/>
            </w:r>
            <w:r w:rsidR="31B9352B" w:rsidRPr="00D714C1">
              <w:rPr>
                <w:rStyle w:val="Hyperlink"/>
                <w:lang w:val="es-CO" w:bidi="es-CO"/>
              </w:rPr>
              <w:t>Ejemplos de educación integrada de riesgos de artefactos explosivos/COVID</w:t>
            </w:r>
            <w:r>
              <w:rPr>
                <w:rStyle w:val="Hyperlink"/>
                <w:lang w:val="es-CO" w:bidi="es-CO"/>
              </w:rPr>
              <w:fldChar w:fldCharType="end"/>
            </w:r>
            <w:r w:rsidR="31B9352B" w:rsidRPr="00D714C1">
              <w:rPr>
                <w:lang w:val="es-CO" w:bidi="es-CO"/>
              </w:rPr>
              <w:t xml:space="preserve"> </w:t>
            </w:r>
          </w:p>
        </w:tc>
      </w:tr>
      <w:tr w:rsidR="00E51807" w:rsidRPr="00A07D20" w14:paraId="26BCFE61" w14:textId="10D4AB50" w:rsidTr="00BF0BF9">
        <w:trPr>
          <w:cantSplit/>
        </w:trPr>
        <w:tc>
          <w:tcPr>
            <w:tcW w:w="2605" w:type="dxa"/>
            <w:shd w:val="clear" w:color="auto" w:fill="E1E9EF" w:themeFill="accent3" w:themeFillTint="33"/>
          </w:tcPr>
          <w:p w14:paraId="02D188BA" w14:textId="128D9328" w:rsidR="00E51807" w:rsidRPr="00D714C1" w:rsidRDefault="00E51807" w:rsidP="00A43E43">
            <w:pPr>
              <w:pStyle w:val="Bold"/>
              <w:rPr>
                <w:lang w:val="es-CO"/>
              </w:rPr>
            </w:pPr>
            <w:r w:rsidRPr="00D714C1">
              <w:rPr>
                <w:lang w:val="es-CO" w:bidi="es-CO"/>
              </w:rPr>
              <w:t>¿Qué pueden hacer los actores de acción contra minas para responder las preguntas que recibimos sobre la COVID-19 que nuestro personal no está preparado para responder?</w:t>
            </w:r>
          </w:p>
        </w:tc>
        <w:tc>
          <w:tcPr>
            <w:tcW w:w="4140" w:type="dxa"/>
          </w:tcPr>
          <w:p w14:paraId="21658B1D" w14:textId="3E8155AF" w:rsidR="00E51807" w:rsidRPr="00D714C1" w:rsidRDefault="00E51807" w:rsidP="00A43E43">
            <w:pPr>
              <w:pStyle w:val="BulletinTable"/>
              <w:rPr>
                <w:lang w:val="es-CO"/>
              </w:rPr>
            </w:pPr>
            <w:r w:rsidRPr="00D714C1">
              <w:rPr>
                <w:lang w:val="es-CO" w:bidi="es-CO"/>
              </w:rPr>
              <w:t>¿Será la comunicación bidireccional o unidireccional (si se comparte la información por redes sociales, a teléfonos)? Tendremos que vincular a actores de la salud que podrán responder preguntas como, por ejemplo, cuál es el centro de salud más cercano y no podrán responderlo si no hacemos un mapeo de los proveedores de asistencia médica de cada área y lo compartimos con los mensajes sobre COVID-19 y educación de riesgos de minas.</w:t>
            </w:r>
          </w:p>
          <w:p w14:paraId="3B76FC3F" w14:textId="5A97CC8A" w:rsidR="00E51807" w:rsidRPr="00D714C1" w:rsidRDefault="00E51807" w:rsidP="00A43E43">
            <w:pPr>
              <w:pStyle w:val="BulletinTable"/>
              <w:rPr>
                <w:lang w:val="es-CO"/>
              </w:rPr>
            </w:pPr>
            <w:r w:rsidRPr="00D714C1">
              <w:rPr>
                <w:lang w:val="es-CO" w:bidi="es-CO"/>
              </w:rPr>
              <w:t xml:space="preserve">Los </w:t>
            </w:r>
            <w:proofErr w:type="spellStart"/>
            <w:r w:rsidRPr="00D714C1">
              <w:rPr>
                <w:lang w:val="es-CO" w:bidi="es-CO"/>
              </w:rPr>
              <w:t>desminadores</w:t>
            </w:r>
            <w:proofErr w:type="spellEnd"/>
            <w:r w:rsidRPr="00D714C1">
              <w:rPr>
                <w:lang w:val="es-CO" w:bidi="es-CO"/>
              </w:rPr>
              <w:t xml:space="preserve"> tienen paramédicos, pero no cuentan con capacitación para este tipo de respuesta. Sin embargo, puede ser un recurso vincularlos con nuestros equipos de </w:t>
            </w:r>
            <w:r w:rsidR="00B316FF">
              <w:rPr>
                <w:lang w:val="es-CO" w:bidi="es-CO"/>
              </w:rPr>
              <w:t>educación en el riesgo de artefactos explosivos</w:t>
            </w:r>
            <w:r w:rsidRPr="00D714C1">
              <w:rPr>
                <w:lang w:val="es-CO" w:bidi="es-CO"/>
              </w:rPr>
              <w:t>/CL</w:t>
            </w:r>
          </w:p>
        </w:tc>
        <w:tc>
          <w:tcPr>
            <w:tcW w:w="11340" w:type="dxa"/>
            <w:shd w:val="clear" w:color="auto" w:fill="E1E9EF" w:themeFill="accent3" w:themeFillTint="33"/>
          </w:tcPr>
          <w:p w14:paraId="3B177E67" w14:textId="66B7F2B1" w:rsidR="00E51807" w:rsidRPr="00D714C1" w:rsidRDefault="00E51807" w:rsidP="47F14592">
            <w:pPr>
              <w:pStyle w:val="BulletinTable"/>
              <w:spacing w:before="0" w:after="0"/>
              <w:rPr>
                <w:lang w:val="es-CO"/>
              </w:rPr>
            </w:pPr>
            <w:r w:rsidRPr="00D714C1">
              <w:rPr>
                <w:lang w:val="es-CO" w:bidi="es-CO"/>
              </w:rPr>
              <w:t>Hay que dictarle capacitación de COVID-19 a todo el personal de actividades humanitarias de acción contra minas.</w:t>
            </w:r>
          </w:p>
          <w:p w14:paraId="6E3A41CC" w14:textId="59BEFBE6" w:rsidR="00E51807" w:rsidRPr="00D714C1" w:rsidRDefault="00E51807" w:rsidP="47F14592">
            <w:pPr>
              <w:pStyle w:val="BulletinTable"/>
              <w:spacing w:before="0" w:after="0"/>
              <w:rPr>
                <w:lang w:val="es-CO"/>
              </w:rPr>
            </w:pPr>
            <w:r w:rsidRPr="00D714C1">
              <w:rPr>
                <w:lang w:val="es-CO" w:bidi="es-CO"/>
              </w:rPr>
              <w:t xml:space="preserve">En caso de actividades en persona: Hay que dictarles una capacitación más profunda a los equipos de </w:t>
            </w:r>
            <w:r w:rsidR="00B316FF">
              <w:rPr>
                <w:lang w:val="es-CO" w:bidi="es-CO"/>
              </w:rPr>
              <w:t>educación en el riesgo de artefactos explosivos</w:t>
            </w:r>
            <w:r w:rsidRPr="00D714C1">
              <w:rPr>
                <w:lang w:val="es-CO" w:bidi="es-CO"/>
              </w:rPr>
              <w:t xml:space="preserve"> y los equipos de NTS, ya que son los que entran en contacto directo con las comunidades. Todos los equipos </w:t>
            </w:r>
            <w:r w:rsidR="00D714C1" w:rsidRPr="00D714C1">
              <w:rPr>
                <w:lang w:val="es-CO" w:bidi="es-CO"/>
              </w:rPr>
              <w:t>deben tener</w:t>
            </w:r>
            <w:r w:rsidRPr="00D714C1">
              <w:rPr>
                <w:lang w:val="es-CO" w:bidi="es-CO"/>
              </w:rPr>
              <w:t xml:space="preserve"> claros sus límites. Hay que evitar toda discusión detallada de salud/médica. De ser posible, trabajen en equipo con los especialistas en salud pública/COVID-19.</w:t>
            </w:r>
          </w:p>
          <w:p w14:paraId="50EA4B8A" w14:textId="77777777" w:rsidR="00E51807" w:rsidRPr="00D714C1" w:rsidRDefault="00E51807" w:rsidP="000841B5">
            <w:pPr>
              <w:pStyle w:val="BulletinTable"/>
              <w:numPr>
                <w:ilvl w:val="0"/>
                <w:numId w:val="0"/>
              </w:numPr>
              <w:ind w:left="360"/>
              <w:rPr>
                <w:lang w:val="es-CO"/>
              </w:rPr>
            </w:pPr>
            <w:r w:rsidRPr="00D714C1">
              <w:rPr>
                <w:lang w:val="es-CO" w:bidi="es-CO"/>
              </w:rPr>
              <w:t xml:space="preserve">Vean también las respuestas anteriores sobre la incorporación de los mensajes sobre la COVID-19. </w:t>
            </w:r>
          </w:p>
          <w:p w14:paraId="4BF23A8D" w14:textId="40AAC54A" w:rsidR="00E51807" w:rsidRPr="00D714C1" w:rsidRDefault="00E51807" w:rsidP="000841B5">
            <w:pPr>
              <w:pStyle w:val="BulletinTable"/>
              <w:rPr>
                <w:lang w:val="es-CO"/>
              </w:rPr>
            </w:pPr>
            <w:r w:rsidRPr="00D714C1">
              <w:rPr>
                <w:lang w:val="es-CO" w:bidi="es-CO"/>
              </w:rPr>
              <w:t xml:space="preserve">En caso de actividades a distancia: Los proveedores de </w:t>
            </w:r>
            <w:r w:rsidR="00B316FF">
              <w:rPr>
                <w:lang w:val="es-CO" w:bidi="es-CO"/>
              </w:rPr>
              <w:t>educación en el riesgo de artefactos explosivos</w:t>
            </w:r>
            <w:r w:rsidRPr="00D714C1">
              <w:rPr>
                <w:lang w:val="es-CO" w:bidi="es-CO"/>
              </w:rPr>
              <w:t xml:space="preserve"> deberán asegurar que sus nuevos mensajes, materiales o actividades tengan la aprobación de una institución calificada especialista en COVID-19 y estén en línea con la orientación global existente.</w:t>
            </w:r>
          </w:p>
        </w:tc>
        <w:tc>
          <w:tcPr>
            <w:tcW w:w="3174" w:type="dxa"/>
            <w:shd w:val="clear" w:color="auto" w:fill="FFFFFF" w:themeFill="background1"/>
          </w:tcPr>
          <w:p w14:paraId="49BCE1D2" w14:textId="77777777" w:rsidR="00E51807" w:rsidRPr="00D714C1" w:rsidRDefault="00E51807" w:rsidP="00A43E43">
            <w:pPr>
              <w:spacing w:before="0" w:after="0"/>
              <w:jc w:val="left"/>
              <w:rPr>
                <w:lang w:val="es-CO"/>
              </w:rPr>
            </w:pPr>
          </w:p>
        </w:tc>
      </w:tr>
      <w:tr w:rsidR="00E51807" w:rsidRPr="00A07D20" w14:paraId="7BAE0CB7" w14:textId="6E30133F" w:rsidTr="00BF0BF9">
        <w:trPr>
          <w:cantSplit/>
        </w:trPr>
        <w:tc>
          <w:tcPr>
            <w:tcW w:w="2605" w:type="dxa"/>
            <w:shd w:val="clear" w:color="auto" w:fill="E1E9EF" w:themeFill="accent3" w:themeFillTint="33"/>
          </w:tcPr>
          <w:p w14:paraId="475AF0A4" w14:textId="5459AF61" w:rsidR="00E51807" w:rsidRPr="00D714C1" w:rsidRDefault="00E51807" w:rsidP="00A43E43">
            <w:pPr>
              <w:pStyle w:val="Bold"/>
              <w:rPr>
                <w:lang w:val="es-CO"/>
              </w:rPr>
            </w:pPr>
            <w:r w:rsidRPr="00D714C1">
              <w:rPr>
                <w:lang w:val="es-CO" w:bidi="es-CO"/>
              </w:rPr>
              <w:t xml:space="preserve">¿Qué tal si se incorporan mensajes de </w:t>
            </w:r>
            <w:r w:rsidR="00B316FF">
              <w:rPr>
                <w:lang w:val="es-CO" w:bidi="es-CO"/>
              </w:rPr>
              <w:t>educación en el riesgo de artefactos explosivos</w:t>
            </w:r>
            <w:r w:rsidRPr="00D714C1">
              <w:rPr>
                <w:lang w:val="es-CO" w:bidi="es-CO"/>
              </w:rPr>
              <w:t xml:space="preserve"> a las campañas de COVID-19?</w:t>
            </w:r>
          </w:p>
        </w:tc>
        <w:tc>
          <w:tcPr>
            <w:tcW w:w="4140" w:type="dxa"/>
          </w:tcPr>
          <w:p w14:paraId="06CE8DE9" w14:textId="77777777" w:rsidR="00E51807" w:rsidRPr="00D714C1" w:rsidRDefault="00E51807" w:rsidP="00A43E43">
            <w:pPr>
              <w:pStyle w:val="BulletinTable"/>
              <w:numPr>
                <w:ilvl w:val="0"/>
                <w:numId w:val="0"/>
              </w:numPr>
              <w:ind w:left="169" w:hanging="169"/>
              <w:rPr>
                <w:lang w:val="es-CO"/>
              </w:rPr>
            </w:pPr>
          </w:p>
        </w:tc>
        <w:tc>
          <w:tcPr>
            <w:tcW w:w="11340" w:type="dxa"/>
            <w:shd w:val="clear" w:color="auto" w:fill="E1E9EF" w:themeFill="accent3" w:themeFillTint="33"/>
          </w:tcPr>
          <w:p w14:paraId="172B8585" w14:textId="07942075" w:rsidR="00E51807" w:rsidRPr="00D714C1" w:rsidRDefault="00E51807" w:rsidP="47F14592">
            <w:pPr>
              <w:spacing w:before="0" w:after="0"/>
              <w:jc w:val="left"/>
              <w:rPr>
                <w:lang w:val="es-CO"/>
              </w:rPr>
            </w:pPr>
            <w:r w:rsidRPr="00D714C1">
              <w:rPr>
                <w:rFonts w:eastAsia="Microsoft YaHei UI"/>
                <w:lang w:val="es-CO" w:bidi="es-CO"/>
              </w:rPr>
              <w:t xml:space="preserve">En general, los equipos de respuesta a la COVID-19 ya estarán bajo presión. Sumar otra tarea para incluir mensajes de </w:t>
            </w:r>
            <w:r w:rsidR="00B316FF">
              <w:rPr>
                <w:rFonts w:eastAsia="Microsoft YaHei UI"/>
                <w:lang w:val="es-CO" w:bidi="es-CO"/>
              </w:rPr>
              <w:t>educación en el riesgo de artefactos explosivos</w:t>
            </w:r>
            <w:r w:rsidRPr="00D714C1">
              <w:rPr>
                <w:rFonts w:eastAsia="Microsoft YaHei UI"/>
                <w:lang w:val="es-CO" w:bidi="es-CO"/>
              </w:rPr>
              <w:t xml:space="preserve"> quizás no sea el mejor enfoque, a menos que la amenaza de artefactos explosivos sea muy alta. </w:t>
            </w:r>
          </w:p>
        </w:tc>
        <w:tc>
          <w:tcPr>
            <w:tcW w:w="3174" w:type="dxa"/>
            <w:shd w:val="clear" w:color="auto" w:fill="FFFFFF" w:themeFill="background1"/>
          </w:tcPr>
          <w:p w14:paraId="455F4F8C" w14:textId="77777777" w:rsidR="00E51807" w:rsidRPr="00D714C1" w:rsidRDefault="00E51807" w:rsidP="00A43E43">
            <w:pPr>
              <w:spacing w:before="0" w:after="0"/>
              <w:jc w:val="left"/>
              <w:rPr>
                <w:lang w:val="es-CO"/>
              </w:rPr>
            </w:pPr>
          </w:p>
        </w:tc>
      </w:tr>
      <w:tr w:rsidR="00E51807" w:rsidRPr="00A07D20" w14:paraId="43B7BC3A" w14:textId="747B8AD8" w:rsidTr="00BF0BF9">
        <w:trPr>
          <w:cantSplit/>
        </w:trPr>
        <w:tc>
          <w:tcPr>
            <w:tcW w:w="2605" w:type="dxa"/>
            <w:shd w:val="clear" w:color="auto" w:fill="E1E9EF" w:themeFill="accent3" w:themeFillTint="33"/>
          </w:tcPr>
          <w:p w14:paraId="6A3B8FFB" w14:textId="209DC0B4" w:rsidR="00E51807" w:rsidRPr="00D714C1" w:rsidRDefault="00E51807" w:rsidP="00A43E43">
            <w:pPr>
              <w:pStyle w:val="Bold"/>
              <w:rPr>
                <w:lang w:val="es-CO"/>
              </w:rPr>
            </w:pPr>
            <w:r w:rsidRPr="00D714C1">
              <w:rPr>
                <w:lang w:val="es-CO" w:bidi="es-CO"/>
              </w:rPr>
              <w:lastRenderedPageBreak/>
              <w:t xml:space="preserve">¿Con qué retos podremos encontrarnos al dar una respuesta cara a cara e integrada de </w:t>
            </w:r>
            <w:r w:rsidR="00B316FF">
              <w:rPr>
                <w:lang w:val="es-CO" w:bidi="es-CO"/>
              </w:rPr>
              <w:t>educación en el riesgo de artefactos explosivos</w:t>
            </w:r>
            <w:r w:rsidRPr="00D714C1">
              <w:rPr>
                <w:lang w:val="es-CO" w:bidi="es-CO"/>
              </w:rPr>
              <w:t xml:space="preserve"> y COVID-19?</w:t>
            </w:r>
          </w:p>
        </w:tc>
        <w:tc>
          <w:tcPr>
            <w:tcW w:w="4140" w:type="dxa"/>
          </w:tcPr>
          <w:p w14:paraId="0A0F92DD" w14:textId="30C0BB0B" w:rsidR="00E51807" w:rsidRPr="00D714C1" w:rsidRDefault="00E51807" w:rsidP="00A43E43">
            <w:pPr>
              <w:pStyle w:val="BulletinTable"/>
              <w:rPr>
                <w:lang w:val="es-CO"/>
              </w:rPr>
            </w:pPr>
            <w:r w:rsidRPr="00D714C1">
              <w:rPr>
                <w:lang w:val="es-CO" w:bidi="es-CO"/>
              </w:rPr>
              <w:t xml:space="preserve">[Pregunta para Ahmed- IHSCO] Quisiera conocer algunos retos que hayan podido tener sus equipos en sus respuestas puerta a puerta de </w:t>
            </w:r>
            <w:r w:rsidR="00B316FF">
              <w:rPr>
                <w:lang w:val="es-CO" w:bidi="es-CO"/>
              </w:rPr>
              <w:t>educación en el riesgo de artefactos explosivos</w:t>
            </w:r>
            <w:r w:rsidRPr="00D714C1">
              <w:rPr>
                <w:lang w:val="es-CO" w:bidi="es-CO"/>
              </w:rPr>
              <w:t xml:space="preserve"> y COVID-19? En Sudán del Sur pretendemos arrancar esas actividades y quisiéramos aprender de su experiencia.</w:t>
            </w:r>
          </w:p>
        </w:tc>
        <w:tc>
          <w:tcPr>
            <w:tcW w:w="11340" w:type="dxa"/>
            <w:shd w:val="clear" w:color="auto" w:fill="E1E9EF" w:themeFill="accent3" w:themeFillTint="33"/>
          </w:tcPr>
          <w:p w14:paraId="43032CD6" w14:textId="2AAD3070" w:rsidR="00E51807" w:rsidRPr="00D714C1" w:rsidRDefault="31B9352B" w:rsidP="00A43E43">
            <w:pPr>
              <w:spacing w:before="0" w:after="0"/>
              <w:jc w:val="left"/>
              <w:rPr>
                <w:lang w:val="es-CO"/>
              </w:rPr>
            </w:pPr>
            <w:r w:rsidRPr="00D714C1">
              <w:rPr>
                <w:lang w:val="es-CO" w:bidi="es-CO"/>
              </w:rPr>
              <w:t xml:space="preserve">De Ahmed:  El principal reto es la accesibilidad, lo que se debe a los toques de queda. Tuvimos que hacer que los equipos trabajaran en áreas accesibles y tuvimos un impacto en el suministro de los materiales y otros problemas logísticos. La gente sigue siendo receptiva con la </w:t>
            </w:r>
            <w:r w:rsidR="00B316FF">
              <w:rPr>
                <w:lang w:val="es-CO" w:bidi="es-CO"/>
              </w:rPr>
              <w:t>educación en el riesgo de artefactos explosivos</w:t>
            </w:r>
            <w:r w:rsidRPr="00D714C1">
              <w:rPr>
                <w:lang w:val="es-CO" w:bidi="es-CO"/>
              </w:rPr>
              <w:t>, pero creemos que debemos agregar mensajes sobre la COVID-19 para involucrar más a la gente y ayudarla a protegerse de ambos riesgos. [Ver la presentación del webinario para más información de los retos que también tienen que ver con la logística y los obstáculos financieros, preocupaciones de salud respecto de la propagación del virus y cierres de las secciones gubernamentales.]</w:t>
            </w:r>
          </w:p>
          <w:p w14:paraId="6FC2E01D" w14:textId="77777777" w:rsidR="00E51807" w:rsidRPr="00D714C1" w:rsidRDefault="00E51807" w:rsidP="00A43E43">
            <w:pPr>
              <w:spacing w:before="0" w:after="0"/>
              <w:jc w:val="left"/>
              <w:rPr>
                <w:lang w:val="es-CO"/>
              </w:rPr>
            </w:pPr>
          </w:p>
          <w:p w14:paraId="6B12605C" w14:textId="6BDBF13F" w:rsidR="00E51807" w:rsidRPr="00D714C1" w:rsidRDefault="00E51807" w:rsidP="00A43E43">
            <w:pPr>
              <w:spacing w:before="0" w:after="0"/>
              <w:jc w:val="left"/>
              <w:rPr>
                <w:lang w:val="es-CO"/>
              </w:rPr>
            </w:pPr>
            <w:r w:rsidRPr="00D714C1">
              <w:rPr>
                <w:lang w:val="es-CO" w:bidi="es-CO"/>
              </w:rPr>
              <w:t>Es posible que las comunidades tengan miedo de nuestros equipos porque puede ser que crean que les llevarán el virus. Antes de visitar una comunidad, asegúrense de contar con el apoyo de los líderes de la comunidad y de que serán bien recibidos.</w:t>
            </w:r>
          </w:p>
          <w:p w14:paraId="7985ED90" w14:textId="792E1B01" w:rsidR="00E51807" w:rsidRPr="00D714C1" w:rsidRDefault="00E51807" w:rsidP="47F14592">
            <w:pPr>
              <w:spacing w:before="0" w:after="0"/>
              <w:jc w:val="left"/>
              <w:rPr>
                <w:lang w:val="es-CO"/>
              </w:rPr>
            </w:pPr>
          </w:p>
          <w:p w14:paraId="70EF4824" w14:textId="0703237B" w:rsidR="00E51807" w:rsidRPr="00D714C1" w:rsidRDefault="00E51807" w:rsidP="47F14592">
            <w:pPr>
              <w:spacing w:before="0" w:after="0"/>
              <w:jc w:val="left"/>
              <w:rPr>
                <w:lang w:val="es-CO"/>
              </w:rPr>
            </w:pPr>
            <w:r w:rsidRPr="00D714C1">
              <w:rPr>
                <w:lang w:val="es-CO" w:bidi="es-CO"/>
              </w:rPr>
              <w:t xml:space="preserve">Es posible que el personal tenga mucho miedo de trabajar en un ambiente afectado por la COVID-19. </w:t>
            </w:r>
          </w:p>
          <w:p w14:paraId="2E50BF43" w14:textId="425E160A" w:rsidR="00E51807" w:rsidRPr="00D714C1" w:rsidRDefault="00E51807" w:rsidP="47F14592">
            <w:pPr>
              <w:spacing w:before="0" w:after="0"/>
              <w:jc w:val="left"/>
              <w:rPr>
                <w:lang w:val="es-CO"/>
              </w:rPr>
            </w:pPr>
          </w:p>
          <w:p w14:paraId="1996A800" w14:textId="427DFF03" w:rsidR="00E51807" w:rsidRPr="00D714C1" w:rsidRDefault="00E51807" w:rsidP="47F14592">
            <w:pPr>
              <w:spacing w:before="0" w:after="0"/>
              <w:jc w:val="left"/>
              <w:rPr>
                <w:lang w:val="es-CO"/>
              </w:rPr>
            </w:pPr>
            <w:r w:rsidRPr="00D714C1">
              <w:rPr>
                <w:lang w:val="es-CO" w:bidi="es-CO"/>
              </w:rPr>
              <w:t>El operador deberá seguir el protocolo de mitigación de la COVID-19, lo que puede resultar difícil cuando al manejar los tamaños de los grupos. Prepárense para dividir grupos en dos y trabajar en grupos de 2 personas (hombre, mujer), como mínimo, para que haya flexibilidad.</w:t>
            </w:r>
          </w:p>
        </w:tc>
        <w:tc>
          <w:tcPr>
            <w:tcW w:w="3174" w:type="dxa"/>
            <w:shd w:val="clear" w:color="auto" w:fill="FFFFFF" w:themeFill="background1"/>
          </w:tcPr>
          <w:p w14:paraId="428A6A45" w14:textId="77777777" w:rsidR="00E51807" w:rsidRPr="00D714C1" w:rsidRDefault="00E51807" w:rsidP="00A43E43">
            <w:pPr>
              <w:spacing w:before="0" w:after="0"/>
              <w:jc w:val="left"/>
              <w:rPr>
                <w:lang w:val="es-CO"/>
              </w:rPr>
            </w:pPr>
          </w:p>
        </w:tc>
      </w:tr>
      <w:tr w:rsidR="00E51807" w:rsidRPr="00A07D20" w14:paraId="7AF43BCF" w14:textId="531B9ED3" w:rsidTr="00BF0BF9">
        <w:trPr>
          <w:cantSplit/>
        </w:trPr>
        <w:tc>
          <w:tcPr>
            <w:tcW w:w="2605" w:type="dxa"/>
            <w:shd w:val="clear" w:color="auto" w:fill="E1E9EF" w:themeFill="accent3" w:themeFillTint="33"/>
          </w:tcPr>
          <w:p w14:paraId="3A9691B6" w14:textId="5D40037E" w:rsidR="00E51807" w:rsidRPr="00D714C1" w:rsidRDefault="00E51807" w:rsidP="00A43E43">
            <w:pPr>
              <w:pStyle w:val="Bold"/>
              <w:rPr>
                <w:lang w:val="es-CO"/>
              </w:rPr>
            </w:pPr>
            <w:r w:rsidRPr="00D714C1">
              <w:rPr>
                <w:lang w:val="es-CO" w:bidi="es-CO"/>
              </w:rPr>
              <w:t>¿Cómo podemos coordinar con el sector de salud y otros sectores?</w:t>
            </w:r>
          </w:p>
        </w:tc>
        <w:tc>
          <w:tcPr>
            <w:tcW w:w="4140" w:type="dxa"/>
          </w:tcPr>
          <w:p w14:paraId="3D60B80D" w14:textId="043CD1B1" w:rsidR="00E51807" w:rsidRPr="00D714C1" w:rsidRDefault="00E51807" w:rsidP="00A43E43">
            <w:pPr>
              <w:pStyle w:val="BulletinTable"/>
              <w:rPr>
                <w:lang w:val="es-CO"/>
              </w:rPr>
            </w:pPr>
            <w:r w:rsidRPr="00D714C1">
              <w:rPr>
                <w:lang w:val="es-CO" w:bidi="es-CO"/>
              </w:rPr>
              <w:t xml:space="preserve">Hay muchos actores que imparten </w:t>
            </w:r>
            <w:r w:rsidR="00B316FF">
              <w:rPr>
                <w:lang w:val="es-CO" w:bidi="es-CO"/>
              </w:rPr>
              <w:t>educación en el riesgo de artefactos explosivos</w:t>
            </w:r>
            <w:r w:rsidRPr="00D714C1">
              <w:rPr>
                <w:lang w:val="es-CO" w:bidi="es-CO"/>
              </w:rPr>
              <w:t xml:space="preserve"> y de COVID-19. ¿Cómo se debe coordinar con el grupo de salud?</w:t>
            </w:r>
          </w:p>
        </w:tc>
        <w:tc>
          <w:tcPr>
            <w:tcW w:w="11340" w:type="dxa"/>
            <w:shd w:val="clear" w:color="auto" w:fill="E1E9EF" w:themeFill="accent3" w:themeFillTint="33"/>
          </w:tcPr>
          <w:p w14:paraId="60E61B02" w14:textId="437DDAA3" w:rsidR="00910A95" w:rsidRPr="00D714C1" w:rsidRDefault="0065586D" w:rsidP="00A43E43">
            <w:pPr>
              <w:spacing w:before="0" w:after="0"/>
              <w:jc w:val="left"/>
              <w:rPr>
                <w:szCs w:val="22"/>
                <w:lang w:val="es-CO"/>
              </w:rPr>
            </w:pPr>
            <w:r w:rsidRPr="00D714C1">
              <w:rPr>
                <w:color w:val="000000"/>
                <w:szCs w:val="22"/>
                <w:lang w:val="es-CO" w:bidi="es-CO"/>
              </w:rPr>
              <w:t xml:space="preserve">En casos de emergencia humanitaria, el sector de acción contra minas tiene en general un área de responsabilidad dentro del Grupo Temático Mundial de Protección y el coordinador de acción contra minas representa la acción contra minas en el Grupo de Coordinación </w:t>
            </w:r>
            <w:proofErr w:type="spellStart"/>
            <w:r w:rsidRPr="00D714C1">
              <w:rPr>
                <w:color w:val="000000"/>
                <w:szCs w:val="22"/>
                <w:lang w:val="es-CO" w:bidi="es-CO"/>
              </w:rPr>
              <w:t>Integrupal</w:t>
            </w:r>
            <w:proofErr w:type="spellEnd"/>
            <w:r w:rsidRPr="00D714C1">
              <w:rPr>
                <w:color w:val="000000"/>
                <w:szCs w:val="22"/>
                <w:lang w:val="es-CO" w:bidi="es-CO"/>
              </w:rPr>
              <w:t xml:space="preserve"> en el que se coordinan los asuntos de colaboración intergrupal (por ejemplo, con Salud, Educación o Agua, Saneamiento e Higiene (WASH)).  Por lo tanto, las organizaciones de acción contra minas primero deben contactar al coordinador de acción contra minas (si lo hubiere) para saber qué acuerdos de coordinación y qué guías y plan de respuesta se han convenido con los socios clave a nivel nacional o regional. Esto es crítico para evitar brechas y duplicaciones al impartir educación de riesgos y evitar que algunas comunidades reciban a equipos de educación de riesgos y otras no.</w:t>
            </w:r>
          </w:p>
          <w:p w14:paraId="0849196D" w14:textId="77777777" w:rsidR="0065586D" w:rsidRPr="00D714C1" w:rsidRDefault="0065586D" w:rsidP="00A43E43">
            <w:pPr>
              <w:spacing w:before="0" w:after="0"/>
              <w:jc w:val="left"/>
              <w:rPr>
                <w:szCs w:val="22"/>
                <w:lang w:val="es-CO"/>
              </w:rPr>
            </w:pPr>
          </w:p>
          <w:p w14:paraId="0333F2BF" w14:textId="141EED17" w:rsidR="00E51807" w:rsidRPr="00D714C1" w:rsidRDefault="00E51807" w:rsidP="47F14592">
            <w:pPr>
              <w:spacing w:before="0" w:after="0"/>
              <w:jc w:val="left"/>
              <w:rPr>
                <w:szCs w:val="22"/>
                <w:lang w:val="es-CO"/>
              </w:rPr>
            </w:pPr>
            <w:r w:rsidRPr="00D714C1">
              <w:rPr>
                <w:szCs w:val="22"/>
                <w:lang w:val="es-CO" w:bidi="es-CO"/>
              </w:rPr>
              <w:t>Coordinen con el equipo de respuesta a la COVID-19, lo que incluirá al sector de la salud, pero también a Agua, Saneamiento e Higiene (WASH), Protección de la Infancia, Educación, C4D, etc.  Campañas combinadas ayudarán a entregar productos de higiene, establecer mecanismos de respuesta de salud, lo que incluye manejo de casos, apoyar el reinicio de los sistemas educativos.</w:t>
            </w:r>
          </w:p>
        </w:tc>
        <w:tc>
          <w:tcPr>
            <w:tcW w:w="3174" w:type="dxa"/>
            <w:shd w:val="clear" w:color="auto" w:fill="FFFFFF" w:themeFill="background1"/>
          </w:tcPr>
          <w:p w14:paraId="05BAEFEB" w14:textId="77777777" w:rsidR="007A038E" w:rsidRPr="00D714C1" w:rsidRDefault="00A07D20" w:rsidP="007A038E">
            <w:pPr>
              <w:pStyle w:val="xmsonormal"/>
              <w:autoSpaceDN w:val="0"/>
              <w:spacing w:line="358" w:lineRule="atLeast"/>
              <w:rPr>
                <w:rFonts w:ascii="Tahoma" w:eastAsia="Times New Roman" w:hAnsi="Tahoma" w:cs="Tahoma"/>
                <w:lang w:val="es-CO"/>
              </w:rPr>
            </w:pPr>
            <w:r>
              <w:fldChar w:fldCharType="begin"/>
            </w:r>
            <w:r w:rsidRPr="00A07D20">
              <w:rPr>
                <w:lang w:val="es-ES"/>
              </w:rPr>
              <w:instrText xml:space="preserve"> HYPERLINK "http://www.globalprotectioncluster.org/covid-19/" </w:instrText>
            </w:r>
            <w:r>
              <w:fldChar w:fldCharType="separate"/>
            </w:r>
            <w:r w:rsidR="007A038E" w:rsidRPr="00D714C1">
              <w:rPr>
                <w:rStyle w:val="Hyperlink"/>
                <w:rFonts w:ascii="Tahoma" w:eastAsia="Times New Roman" w:hAnsi="Tahoma" w:cs="Tahoma"/>
                <w:lang w:val="es-CO" w:bidi="es-CO"/>
              </w:rPr>
              <w:t>Grupo Temático Mundial de Protección</w:t>
            </w:r>
            <w:r>
              <w:rPr>
                <w:rStyle w:val="Hyperlink"/>
                <w:rFonts w:ascii="Tahoma" w:eastAsia="Times New Roman" w:hAnsi="Tahoma" w:cs="Tahoma"/>
                <w:lang w:val="es-CO" w:bidi="es-CO"/>
              </w:rPr>
              <w:fldChar w:fldCharType="end"/>
            </w:r>
          </w:p>
          <w:p w14:paraId="6F92AE69" w14:textId="3B6CCCE1" w:rsidR="007A038E" w:rsidRPr="00D714C1" w:rsidRDefault="00A07D20" w:rsidP="007A038E">
            <w:pPr>
              <w:spacing w:before="0" w:after="0"/>
              <w:jc w:val="left"/>
              <w:rPr>
                <w:color w:val="000000"/>
                <w:lang w:val="es-CO"/>
              </w:rPr>
            </w:pPr>
            <w:r>
              <w:fldChar w:fldCharType="begin"/>
            </w:r>
            <w:r w:rsidRPr="00A07D20">
              <w:rPr>
                <w:lang w:val="es-ES"/>
              </w:rPr>
              <w:instrText xml:space="preserve"> HYPERLINK "https://interagencystandingcommittee.org/covid-19-outbreak-readiness-and-response" </w:instrText>
            </w:r>
            <w:r>
              <w:fldChar w:fldCharType="separate"/>
            </w:r>
            <w:r w:rsidR="007A038E" w:rsidRPr="00D714C1">
              <w:rPr>
                <w:rStyle w:val="Hyperlink"/>
                <w:lang w:val="es-CO" w:bidi="es-CO"/>
              </w:rPr>
              <w:t xml:space="preserve">Centro de Recursos del Comité Permanente </w:t>
            </w:r>
            <w:proofErr w:type="spellStart"/>
            <w:r w:rsidR="007A038E" w:rsidRPr="00D714C1">
              <w:rPr>
                <w:rStyle w:val="Hyperlink"/>
                <w:lang w:val="es-CO" w:bidi="es-CO"/>
              </w:rPr>
              <w:t>Interagencial</w:t>
            </w:r>
            <w:proofErr w:type="spellEnd"/>
            <w:r>
              <w:rPr>
                <w:rStyle w:val="Hyperlink"/>
                <w:lang w:val="es-CO" w:bidi="es-CO"/>
              </w:rPr>
              <w:fldChar w:fldCharType="end"/>
            </w:r>
          </w:p>
          <w:p w14:paraId="65A8E29C" w14:textId="77777777" w:rsidR="00E51807" w:rsidRPr="00D714C1" w:rsidRDefault="00E51807" w:rsidP="00A43E43">
            <w:pPr>
              <w:spacing w:before="0" w:after="0"/>
              <w:jc w:val="left"/>
              <w:rPr>
                <w:lang w:val="es-CO"/>
              </w:rPr>
            </w:pPr>
          </w:p>
        </w:tc>
      </w:tr>
      <w:tr w:rsidR="00E51807" w:rsidRPr="00A07D20" w14:paraId="394EDD58" w14:textId="1B0A7256" w:rsidTr="00BF0BF9">
        <w:trPr>
          <w:cantSplit/>
        </w:trPr>
        <w:tc>
          <w:tcPr>
            <w:tcW w:w="2605" w:type="dxa"/>
            <w:shd w:val="clear" w:color="auto" w:fill="E1E9EF" w:themeFill="accent3" w:themeFillTint="33"/>
          </w:tcPr>
          <w:p w14:paraId="76F54A30" w14:textId="73C533C6" w:rsidR="00E51807" w:rsidRPr="00D714C1" w:rsidRDefault="00E51807" w:rsidP="00A43E43">
            <w:pPr>
              <w:pStyle w:val="Bold"/>
              <w:rPr>
                <w:lang w:val="es-CO"/>
              </w:rPr>
            </w:pPr>
            <w:r w:rsidRPr="00D714C1">
              <w:rPr>
                <w:lang w:val="es-CO" w:bidi="es-CO"/>
              </w:rPr>
              <w:lastRenderedPageBreak/>
              <w:t xml:space="preserve">¿Qué están haciendo otros sectores/grupos? ¿Tienen alguna guía publicada de incorporación de mensajes sobre la COVID-19 a su trabajo? Como sector de la </w:t>
            </w:r>
            <w:r w:rsidR="00B316FF">
              <w:rPr>
                <w:lang w:val="es-CO" w:bidi="es-CO"/>
              </w:rPr>
              <w:t>educación en el riesgo de artefactos explosivos</w:t>
            </w:r>
            <w:r w:rsidRPr="00D714C1">
              <w:rPr>
                <w:lang w:val="es-CO" w:bidi="es-CO"/>
              </w:rPr>
              <w:t>, ¿estamos quedando rezagados y tendremos que ponernos al día después?</w:t>
            </w:r>
          </w:p>
        </w:tc>
        <w:tc>
          <w:tcPr>
            <w:tcW w:w="4140" w:type="dxa"/>
          </w:tcPr>
          <w:p w14:paraId="469EF4E2" w14:textId="55AB12B9" w:rsidR="00E51807" w:rsidRPr="00D714C1" w:rsidRDefault="00E51807" w:rsidP="00A43E43">
            <w:pPr>
              <w:pStyle w:val="BulletinTable"/>
              <w:rPr>
                <w:lang w:val="es-CO"/>
              </w:rPr>
            </w:pPr>
            <w:r w:rsidRPr="00D714C1">
              <w:rPr>
                <w:lang w:val="es-CO" w:bidi="es-CO"/>
              </w:rPr>
              <w:t xml:space="preserve">¿Hemos visto una orientación útil de otros grupos que podamos usar para ayudar a conformar nuestros mensajes de </w:t>
            </w:r>
            <w:r w:rsidR="00B316FF">
              <w:rPr>
                <w:lang w:val="es-CO" w:bidi="es-CO"/>
              </w:rPr>
              <w:t>educación en el riesgo de artefactos explosivos</w:t>
            </w:r>
            <w:r w:rsidRPr="00D714C1">
              <w:rPr>
                <w:lang w:val="es-CO" w:bidi="es-CO"/>
              </w:rPr>
              <w:t>/COVID (aunque entiendo que pueden ser específicos de un contexto)? También se ha mencionado la guía de UNICEF. ¿Podemos compartirla?</w:t>
            </w:r>
          </w:p>
          <w:p w14:paraId="3B2C01BC" w14:textId="7CCEA04E" w:rsidR="00E51807" w:rsidRPr="00D714C1" w:rsidRDefault="00E51807" w:rsidP="00A43E43">
            <w:pPr>
              <w:pStyle w:val="BulletinTable"/>
              <w:rPr>
                <w:lang w:val="es-CO"/>
              </w:rPr>
            </w:pPr>
            <w:r w:rsidRPr="00D714C1">
              <w:rPr>
                <w:lang w:val="es-CO" w:bidi="es-CO"/>
              </w:rPr>
              <w:t xml:space="preserve">A nivel mundial, ¿hay planes para facilitar la estandarización del trabajo de integración de la </w:t>
            </w:r>
            <w:r w:rsidR="00B316FF">
              <w:rPr>
                <w:lang w:val="es-CO" w:bidi="es-CO"/>
              </w:rPr>
              <w:t>educación en el riesgo de artefactos explosivos</w:t>
            </w:r>
            <w:r w:rsidRPr="00D714C1">
              <w:rPr>
                <w:lang w:val="es-CO" w:bidi="es-CO"/>
              </w:rPr>
              <w:t xml:space="preserve"> y la COVID-19? ¿Qué tan pronto se compartirán esas normas? Organizaciones de algún modo diferentes usarán lo que tienen ahora y armonizarán todo después, p. ej., las colaboraciones de UNICEF con salud, educación, agua, saneamiento e higiene y C4D ya están avanzando.</w:t>
            </w:r>
          </w:p>
        </w:tc>
        <w:tc>
          <w:tcPr>
            <w:tcW w:w="11340" w:type="dxa"/>
            <w:shd w:val="clear" w:color="auto" w:fill="E1E9EF" w:themeFill="accent3" w:themeFillTint="33"/>
          </w:tcPr>
          <w:p w14:paraId="561D3AA5" w14:textId="58626366" w:rsidR="00E51807" w:rsidRPr="00D714C1" w:rsidRDefault="00E51807" w:rsidP="00A43E43">
            <w:pPr>
              <w:spacing w:before="0" w:after="0"/>
              <w:jc w:val="left"/>
              <w:rPr>
                <w:lang w:val="es-CO"/>
              </w:rPr>
            </w:pPr>
            <w:r w:rsidRPr="00D714C1">
              <w:rPr>
                <w:lang w:val="es-CO" w:bidi="es-CO"/>
              </w:rPr>
              <w:t xml:space="preserve">Hay mucha orientación disponible; por ejemplo, cómo dirigir grupos focales para entender cómo la comunidad percibe esta nueva pandemia. </w:t>
            </w:r>
          </w:p>
          <w:p w14:paraId="4CE28C0F" w14:textId="5B5D4E55" w:rsidR="00E51807" w:rsidRPr="00D714C1" w:rsidRDefault="00E51807" w:rsidP="47F14592">
            <w:pPr>
              <w:spacing w:before="0" w:after="0"/>
              <w:jc w:val="left"/>
              <w:rPr>
                <w:lang w:val="es-CO"/>
              </w:rPr>
            </w:pPr>
          </w:p>
          <w:p w14:paraId="3D8F30C5" w14:textId="2571AA24" w:rsidR="00E51807" w:rsidRPr="00D714C1" w:rsidRDefault="00E51807" w:rsidP="47F14592">
            <w:pPr>
              <w:spacing w:before="0" w:after="0"/>
              <w:jc w:val="left"/>
              <w:rPr>
                <w:lang w:val="es-CO"/>
              </w:rPr>
            </w:pPr>
            <w:r w:rsidRPr="00D714C1">
              <w:rPr>
                <w:lang w:val="es-CO" w:bidi="es-CO"/>
              </w:rPr>
              <w:t xml:space="preserve">Todavía no hay planes para facilitar la estandarización del trabajo de integración de la </w:t>
            </w:r>
            <w:r w:rsidR="00B316FF">
              <w:rPr>
                <w:lang w:val="es-CO" w:bidi="es-CO"/>
              </w:rPr>
              <w:t>educación en el riesgo de artefactos explosivos</w:t>
            </w:r>
            <w:r w:rsidRPr="00D714C1">
              <w:rPr>
                <w:lang w:val="es-CO" w:bidi="es-CO"/>
              </w:rPr>
              <w:t xml:space="preserve"> y la COVID-19. Hay que discutirlo con los miembros del Grupo Asesor sobre </w:t>
            </w:r>
            <w:r w:rsidR="00B316FF">
              <w:rPr>
                <w:lang w:val="es-CO" w:bidi="es-CO"/>
              </w:rPr>
              <w:t>educación en el riesgo de artefactos explosivos</w:t>
            </w:r>
            <w:r w:rsidRPr="00D714C1">
              <w:rPr>
                <w:lang w:val="es-CO" w:bidi="es-CO"/>
              </w:rPr>
              <w:t>.</w:t>
            </w:r>
          </w:p>
        </w:tc>
        <w:tc>
          <w:tcPr>
            <w:tcW w:w="3174" w:type="dxa"/>
            <w:shd w:val="clear" w:color="auto" w:fill="FFFFFF" w:themeFill="background1"/>
          </w:tcPr>
          <w:p w14:paraId="7AD103C9" w14:textId="4B3B3AC3" w:rsidR="00E51807" w:rsidRPr="00D714C1" w:rsidRDefault="00A07D20" w:rsidP="00A43E43">
            <w:pPr>
              <w:spacing w:before="0" w:after="0"/>
              <w:jc w:val="left"/>
              <w:rPr>
                <w:lang w:val="es-CO"/>
              </w:rPr>
            </w:pPr>
            <w:r>
              <w:fldChar w:fldCharType="begin"/>
            </w:r>
            <w:r w:rsidRPr="00A07D20">
              <w:rPr>
                <w:lang w:val="es-ES"/>
              </w:rPr>
              <w:instrText xml:space="preserve"> HYPERLINK "https://unicef-my.sharepoint.com/:f:/g/personal/hlaurenge_unicef_org1/EqdE3V2BFFBOoGw0_o0CnxkBeXYBJuR9ZJELsaunKZfaLw?e=twRt43" </w:instrText>
            </w:r>
            <w:r>
              <w:fldChar w:fldCharType="separate"/>
            </w:r>
            <w:r w:rsidR="00E51807" w:rsidRPr="00D714C1">
              <w:rPr>
                <w:rStyle w:val="Hyperlink"/>
                <w:lang w:val="es-CO" w:bidi="es-CO"/>
              </w:rPr>
              <w:t xml:space="preserve">Biblioteca de recursos de </w:t>
            </w:r>
            <w:r w:rsidR="00B316FF">
              <w:rPr>
                <w:rStyle w:val="Hyperlink"/>
                <w:lang w:val="es-CO" w:bidi="es-CO"/>
              </w:rPr>
              <w:t>educación en el riesgo de artefactos explosivos</w:t>
            </w:r>
            <w:r w:rsidR="00E51807" w:rsidRPr="00D714C1">
              <w:rPr>
                <w:rStyle w:val="Hyperlink"/>
                <w:lang w:val="es-CO" w:bidi="es-CO"/>
              </w:rPr>
              <w:t>/COVID</w:t>
            </w:r>
            <w:r>
              <w:rPr>
                <w:rStyle w:val="Hyperlink"/>
                <w:lang w:val="es-CO" w:bidi="es-CO"/>
              </w:rPr>
              <w:fldChar w:fldCharType="end"/>
            </w:r>
          </w:p>
        </w:tc>
      </w:tr>
    </w:tbl>
    <w:p w14:paraId="419A42A7" w14:textId="77777777" w:rsidR="00486CE9" w:rsidRPr="00D714C1" w:rsidRDefault="00486CE9" w:rsidP="00486CE9">
      <w:pPr>
        <w:rPr>
          <w:lang w:val="es-CO"/>
        </w:rPr>
      </w:pPr>
    </w:p>
    <w:p w14:paraId="270E3AC9" w14:textId="77777777" w:rsidR="005C4CB8" w:rsidRPr="00D714C1" w:rsidRDefault="005C4CB8" w:rsidP="005C4CB8">
      <w:pPr>
        <w:pStyle w:val="BulletLevel3"/>
        <w:numPr>
          <w:ilvl w:val="0"/>
          <w:numId w:val="0"/>
        </w:numPr>
        <w:ind w:left="1155" w:hanging="304"/>
        <w:rPr>
          <w:lang w:val="es-CO"/>
        </w:rPr>
      </w:pPr>
    </w:p>
    <w:p w14:paraId="2B8220CF" w14:textId="77777777" w:rsidR="001B0F08" w:rsidRPr="00D714C1" w:rsidRDefault="001B0F08" w:rsidP="00DB22B3">
      <w:pPr>
        <w:pStyle w:val="Heading1"/>
        <w:rPr>
          <w:lang w:val="es-CO"/>
        </w:rPr>
      </w:pPr>
      <w:r w:rsidRPr="00D714C1">
        <w:rPr>
          <w:lang w:val="es-CO" w:bidi="es-CO"/>
        </w:rPr>
        <w:br w:type="page"/>
      </w:r>
    </w:p>
    <w:p w14:paraId="7E24A8B5" w14:textId="409604DE" w:rsidR="00DB22B3" w:rsidRPr="00D714C1" w:rsidRDefault="00DB22B3" w:rsidP="00DB22B3">
      <w:pPr>
        <w:pStyle w:val="Heading1"/>
        <w:rPr>
          <w:lang w:val="es-CO"/>
        </w:rPr>
      </w:pPr>
      <w:bookmarkStart w:id="5" w:name="_Toc44425357"/>
      <w:r w:rsidRPr="00D714C1">
        <w:rPr>
          <w:lang w:val="es-CO" w:bidi="es-CO"/>
        </w:rPr>
        <w:lastRenderedPageBreak/>
        <w:t>Inquietudes de financiación y personal [podríamos beneficiarnos de los aportes de los donantes]</w:t>
      </w:r>
      <w:bookmarkEnd w:id="5"/>
    </w:p>
    <w:tbl>
      <w:tblPr>
        <w:tblStyle w:val="TableGrid"/>
        <w:tblW w:w="21259" w:type="dxa"/>
        <w:tblInd w:w="0" w:type="dxa"/>
        <w:tblLayout w:type="fixed"/>
        <w:tblCellMar>
          <w:top w:w="57" w:type="dxa"/>
          <w:bottom w:w="57" w:type="dxa"/>
        </w:tblCellMar>
        <w:tblLook w:val="04A0" w:firstRow="1" w:lastRow="0" w:firstColumn="1" w:lastColumn="0" w:noHBand="0" w:noVBand="1"/>
      </w:tblPr>
      <w:tblGrid>
        <w:gridCol w:w="2605"/>
        <w:gridCol w:w="6746"/>
        <w:gridCol w:w="8685"/>
        <w:gridCol w:w="3223"/>
      </w:tblGrid>
      <w:tr w:rsidR="0031540E" w:rsidRPr="00D714C1" w14:paraId="3CCAFE2D" w14:textId="7A94CCE1" w:rsidTr="26CBD706">
        <w:trPr>
          <w:cantSplit/>
          <w:tblHeader/>
        </w:trPr>
        <w:tc>
          <w:tcPr>
            <w:tcW w:w="2605" w:type="dxa"/>
            <w:shd w:val="clear" w:color="auto" w:fill="6D96B3" w:themeFill="accent3"/>
          </w:tcPr>
          <w:p w14:paraId="486A5C0D" w14:textId="77777777" w:rsidR="0031540E" w:rsidRPr="00D714C1" w:rsidRDefault="0031540E" w:rsidP="00CE240B">
            <w:pPr>
              <w:pStyle w:val="NoSpacing"/>
              <w:rPr>
                <w:b/>
                <w:bCs/>
                <w:color w:val="FFFFFF" w:themeColor="background1"/>
                <w:lang w:val="es-CO"/>
              </w:rPr>
            </w:pPr>
            <w:r w:rsidRPr="00D714C1">
              <w:rPr>
                <w:b/>
                <w:color w:val="FFFFFF" w:themeColor="background1"/>
                <w:lang w:val="es-CO" w:bidi="es-CO"/>
              </w:rPr>
              <w:t>Pregunta general</w:t>
            </w:r>
          </w:p>
        </w:tc>
        <w:tc>
          <w:tcPr>
            <w:tcW w:w="6746" w:type="dxa"/>
            <w:shd w:val="clear" w:color="auto" w:fill="6D96B3" w:themeFill="accent3"/>
          </w:tcPr>
          <w:p w14:paraId="335A4D2B" w14:textId="77777777" w:rsidR="0031540E" w:rsidRPr="00D714C1" w:rsidRDefault="0031540E" w:rsidP="00CE240B">
            <w:pPr>
              <w:pStyle w:val="NoSpacing"/>
              <w:rPr>
                <w:b/>
                <w:bCs/>
                <w:color w:val="FFFFFF" w:themeColor="background1"/>
                <w:lang w:val="es-CO"/>
              </w:rPr>
            </w:pPr>
            <w:r w:rsidRPr="00D714C1">
              <w:rPr>
                <w:b/>
                <w:color w:val="FFFFFF" w:themeColor="background1"/>
                <w:lang w:val="es-CO" w:bidi="es-CO"/>
              </w:rPr>
              <w:t>Preguntas recibidas</w:t>
            </w:r>
          </w:p>
        </w:tc>
        <w:tc>
          <w:tcPr>
            <w:tcW w:w="8685" w:type="dxa"/>
            <w:shd w:val="clear" w:color="auto" w:fill="6D96B3" w:themeFill="accent3"/>
          </w:tcPr>
          <w:p w14:paraId="3C8105DF" w14:textId="77777777" w:rsidR="0031540E" w:rsidRPr="00D714C1" w:rsidRDefault="0031540E" w:rsidP="00CE240B">
            <w:pPr>
              <w:pStyle w:val="NoSpacing"/>
              <w:rPr>
                <w:b/>
                <w:bCs/>
                <w:color w:val="FFFFFF" w:themeColor="background1"/>
                <w:lang w:val="es-CO"/>
              </w:rPr>
            </w:pPr>
            <w:r w:rsidRPr="00D714C1">
              <w:rPr>
                <w:b/>
                <w:color w:val="FFFFFF" w:themeColor="background1"/>
                <w:lang w:val="es-CO" w:bidi="es-CO"/>
              </w:rPr>
              <w:t>Respuesta</w:t>
            </w:r>
          </w:p>
        </w:tc>
        <w:tc>
          <w:tcPr>
            <w:tcW w:w="3223" w:type="dxa"/>
            <w:shd w:val="clear" w:color="auto" w:fill="6D96B3" w:themeFill="accent3"/>
          </w:tcPr>
          <w:p w14:paraId="3984BD9D" w14:textId="466172CE" w:rsidR="0031540E" w:rsidRPr="00D714C1" w:rsidRDefault="008E1E90" w:rsidP="00CE240B">
            <w:pPr>
              <w:pStyle w:val="NoSpacing"/>
              <w:rPr>
                <w:b/>
                <w:bCs/>
                <w:color w:val="FFFFFF" w:themeColor="background1"/>
                <w:lang w:val="es-CO"/>
              </w:rPr>
            </w:pPr>
            <w:r w:rsidRPr="00D714C1">
              <w:rPr>
                <w:b/>
                <w:color w:val="FFFFFF" w:themeColor="background1"/>
                <w:lang w:val="es-CO" w:bidi="es-CO"/>
              </w:rPr>
              <w:t>Guía</w:t>
            </w:r>
          </w:p>
        </w:tc>
      </w:tr>
      <w:tr w:rsidR="0031540E" w:rsidRPr="00A07D20" w14:paraId="420E19BA" w14:textId="24C967F0" w:rsidTr="26CBD706">
        <w:trPr>
          <w:cantSplit/>
        </w:trPr>
        <w:tc>
          <w:tcPr>
            <w:tcW w:w="2605" w:type="dxa"/>
            <w:shd w:val="clear" w:color="auto" w:fill="E1E9EF" w:themeFill="accent3" w:themeFillTint="33"/>
          </w:tcPr>
          <w:p w14:paraId="5285C6BC" w14:textId="47BBEC69" w:rsidR="0031540E" w:rsidRPr="00D714C1" w:rsidRDefault="0031540E" w:rsidP="005C4CB8">
            <w:pPr>
              <w:pStyle w:val="Bold"/>
              <w:rPr>
                <w:lang w:val="es-CO"/>
              </w:rPr>
            </w:pPr>
            <w:r w:rsidRPr="00D714C1">
              <w:rPr>
                <w:lang w:val="es-CO" w:bidi="es-CO"/>
              </w:rPr>
              <w:t xml:space="preserve">¿Cómo afectará la crisis de la COVID-19 las proyecciones de financiación a futuro para el sector de la </w:t>
            </w:r>
            <w:r w:rsidR="00B316FF">
              <w:rPr>
                <w:lang w:val="es-CO" w:bidi="es-CO"/>
              </w:rPr>
              <w:t>educación en el riesgo de artefactos explosivos</w:t>
            </w:r>
            <w:r w:rsidRPr="00D714C1">
              <w:rPr>
                <w:lang w:val="es-CO" w:bidi="es-CO"/>
              </w:rPr>
              <w:t>, considerando que los fondos ya son de por sí limitados? ¿Cómo podemos abogar por nuestros programas?</w:t>
            </w:r>
          </w:p>
        </w:tc>
        <w:tc>
          <w:tcPr>
            <w:tcW w:w="6746" w:type="dxa"/>
          </w:tcPr>
          <w:p w14:paraId="7125F196" w14:textId="57AE9461" w:rsidR="0031540E" w:rsidRPr="00D714C1" w:rsidRDefault="0031540E" w:rsidP="005C4CB8">
            <w:pPr>
              <w:pStyle w:val="BulletinTable"/>
              <w:rPr>
                <w:lang w:val="es-CO"/>
              </w:rPr>
            </w:pPr>
            <w:r w:rsidRPr="00D714C1">
              <w:rPr>
                <w:lang w:val="es-CO" w:bidi="es-CO"/>
              </w:rPr>
              <w:t xml:space="preserve">Me interesa escuchar las reflexiones de las proyecciones a corto, mediano y largo plazo. La financiación para la </w:t>
            </w:r>
            <w:r w:rsidR="00B316FF">
              <w:rPr>
                <w:lang w:val="es-CO" w:bidi="es-CO"/>
              </w:rPr>
              <w:t>educación en el riesgo de artefactos explosivos</w:t>
            </w:r>
            <w:r w:rsidRPr="00D714C1">
              <w:rPr>
                <w:lang w:val="es-CO" w:bidi="es-CO"/>
              </w:rPr>
              <w:t xml:space="preserve"> como lo era fue todo un desafío en algunos escenarios, pero ¿cómo podría la crisis de la COVID-19 y la nueva priorización resultante de las actividades (indicada por algunos donantes y organizaciones) impactar en este sentido? ¿A alguien le preocupa tener que suspender/cancelar los programas y tener que despedir a los equipos? ¿Cómo defendemos eficazmente y nos aseguramos de que no se degraden nuestros programas?</w:t>
            </w:r>
          </w:p>
        </w:tc>
        <w:tc>
          <w:tcPr>
            <w:tcW w:w="8685" w:type="dxa"/>
            <w:shd w:val="clear" w:color="auto" w:fill="E1E9EF" w:themeFill="accent3" w:themeFillTint="33"/>
          </w:tcPr>
          <w:p w14:paraId="4BDEF1FD" w14:textId="51775562" w:rsidR="0031540E" w:rsidRPr="00D714C1" w:rsidRDefault="107C4074" w:rsidP="00CE240B">
            <w:pPr>
              <w:spacing w:before="0" w:after="0"/>
              <w:jc w:val="left"/>
              <w:rPr>
                <w:lang w:val="es-CO"/>
              </w:rPr>
            </w:pPr>
            <w:r w:rsidRPr="00D714C1">
              <w:rPr>
                <w:lang w:val="es-CO" w:bidi="es-CO"/>
              </w:rPr>
              <w:t xml:space="preserve">Obviamente esto es un “trabajo en proceso”. Estas dos </w:t>
            </w:r>
            <w:proofErr w:type="spellStart"/>
            <w:r w:rsidRPr="00D714C1">
              <w:rPr>
                <w:lang w:val="es-CO" w:bidi="es-CO"/>
              </w:rPr>
              <w:t>megacrisis</w:t>
            </w:r>
            <w:proofErr w:type="spellEnd"/>
            <w:r w:rsidRPr="00D714C1">
              <w:rPr>
                <w:lang w:val="es-CO" w:bidi="es-CO"/>
              </w:rPr>
              <w:t xml:space="preserve"> (de salud y económica) transformarán radicalmente el mundo del mañana. Será desafiante o prematuro bosquejar “proyecciones”. No obstante, he aquí algunas observaciones preliminares.</w:t>
            </w:r>
          </w:p>
          <w:p w14:paraId="2D41EC6F" w14:textId="77777777" w:rsidR="007933E9" w:rsidRPr="00D714C1" w:rsidRDefault="00C5624B" w:rsidP="007933E9">
            <w:pPr>
              <w:pStyle w:val="ListParagraph"/>
              <w:numPr>
                <w:ilvl w:val="0"/>
                <w:numId w:val="25"/>
              </w:numPr>
              <w:spacing w:before="0" w:after="0"/>
              <w:jc w:val="left"/>
              <w:rPr>
                <w:lang w:val="es-CO"/>
              </w:rPr>
            </w:pPr>
            <w:r w:rsidRPr="00D714C1">
              <w:rPr>
                <w:lang w:val="es-CO" w:bidi="es-CO"/>
              </w:rPr>
              <w:t>Algunos analistas prevén al menos una recesión económica mundial de dos años. Como se observó en la crisis económica mundial anterior, es posible que los contribuyentes presionen a los estados donantes para que le resten prioridad a la ayuda humanitaria.</w:t>
            </w:r>
          </w:p>
          <w:p w14:paraId="4A4C8737" w14:textId="5205A337" w:rsidR="00904466" w:rsidRPr="00D714C1" w:rsidRDefault="635D2498" w:rsidP="007933E9">
            <w:pPr>
              <w:pStyle w:val="ListParagraph"/>
              <w:numPr>
                <w:ilvl w:val="0"/>
                <w:numId w:val="25"/>
              </w:numPr>
              <w:spacing w:before="0" w:after="0"/>
              <w:jc w:val="left"/>
              <w:rPr>
                <w:lang w:val="es-CO"/>
              </w:rPr>
            </w:pPr>
            <w:r w:rsidRPr="00D714C1">
              <w:rPr>
                <w:lang w:val="es-CO" w:bidi="es-CO"/>
              </w:rPr>
              <w:t>Se han iniciado o se adaptarán recursos mundiales relativos a la COVID-19 (p. ej., Plan de Respuesta Humanitaria coordinado por OCHA).</w:t>
            </w:r>
          </w:p>
          <w:p w14:paraId="6D9B34B1" w14:textId="3B5D17ED" w:rsidR="005B6B39" w:rsidRPr="00D714C1" w:rsidRDefault="43D307C0" w:rsidP="007933E9">
            <w:pPr>
              <w:pStyle w:val="ListParagraph"/>
              <w:numPr>
                <w:ilvl w:val="0"/>
                <w:numId w:val="25"/>
              </w:numPr>
              <w:spacing w:before="0" w:after="0"/>
              <w:jc w:val="left"/>
              <w:rPr>
                <w:lang w:val="es-CO"/>
              </w:rPr>
            </w:pPr>
            <w:r w:rsidRPr="00D714C1">
              <w:rPr>
                <w:lang w:val="es-CO" w:bidi="es-CO"/>
              </w:rPr>
              <w:t>Aparentemente, el Grupo de Apoyo de Acción contra Minas, la comunidad mundial de donantes de acción contra minas no se ha involucrado todavía en los debates/coordinación relativa a la COVID-19.</w:t>
            </w:r>
          </w:p>
          <w:p w14:paraId="447A0984" w14:textId="2EE23B38" w:rsidR="00FC6154" w:rsidRPr="00D714C1" w:rsidRDefault="004B6F11" w:rsidP="007933E9">
            <w:pPr>
              <w:pStyle w:val="ListParagraph"/>
              <w:numPr>
                <w:ilvl w:val="0"/>
                <w:numId w:val="25"/>
              </w:numPr>
              <w:spacing w:before="0" w:after="0"/>
              <w:jc w:val="left"/>
              <w:rPr>
                <w:lang w:val="es-CO"/>
              </w:rPr>
            </w:pPr>
            <w:r w:rsidRPr="00D714C1">
              <w:rPr>
                <w:lang w:val="es-CO" w:bidi="es-CO"/>
              </w:rPr>
              <w:t xml:space="preserve">Los grupos de interés de Acción contra Minas y, por consiguiente, </w:t>
            </w:r>
            <w:proofErr w:type="gramStart"/>
            <w:r w:rsidRPr="00D714C1">
              <w:rPr>
                <w:lang w:val="es-CO" w:bidi="es-CO"/>
              </w:rPr>
              <w:t xml:space="preserve">el sector de la </w:t>
            </w:r>
            <w:r w:rsidR="00B316FF">
              <w:rPr>
                <w:lang w:val="es-CO" w:bidi="es-CO"/>
              </w:rPr>
              <w:t>educación en el riesgo de artefactos explosivos</w:t>
            </w:r>
            <w:r w:rsidRPr="00D714C1">
              <w:rPr>
                <w:lang w:val="es-CO" w:bidi="es-CO"/>
              </w:rPr>
              <w:t xml:space="preserve"> tendrán</w:t>
            </w:r>
            <w:proofErr w:type="gramEnd"/>
            <w:r w:rsidRPr="00D714C1">
              <w:rPr>
                <w:lang w:val="es-CO" w:bidi="es-CO"/>
              </w:rPr>
              <w:t xml:space="preserve"> que entrar en diálogo con los donantes y definir una estrategia común de financiación.</w:t>
            </w:r>
          </w:p>
          <w:p w14:paraId="1F5CB164" w14:textId="09B4163B" w:rsidR="006606C9" w:rsidRPr="00D714C1" w:rsidRDefault="00E004E5" w:rsidP="007933E9">
            <w:pPr>
              <w:pStyle w:val="ListParagraph"/>
              <w:numPr>
                <w:ilvl w:val="0"/>
                <w:numId w:val="25"/>
              </w:numPr>
              <w:spacing w:before="0" w:after="0"/>
              <w:jc w:val="left"/>
              <w:rPr>
                <w:lang w:val="es-CO"/>
              </w:rPr>
            </w:pPr>
            <w:r w:rsidRPr="00D714C1">
              <w:rPr>
                <w:lang w:val="es-CO" w:bidi="es-CO"/>
              </w:rPr>
              <w:t>El apetito de los donantes por entender cómo los operadores de acción contra minas están manejando la COVID es una señal positiva.</w:t>
            </w:r>
          </w:p>
        </w:tc>
        <w:tc>
          <w:tcPr>
            <w:tcW w:w="3223" w:type="dxa"/>
            <w:shd w:val="clear" w:color="auto" w:fill="FFFFFF" w:themeFill="background1"/>
          </w:tcPr>
          <w:p w14:paraId="2272E197" w14:textId="559BDA80" w:rsidR="0001238C" w:rsidRPr="00D714C1" w:rsidRDefault="00442034" w:rsidP="0001238C">
            <w:pPr>
              <w:spacing w:before="0" w:after="0"/>
              <w:jc w:val="left"/>
              <w:rPr>
                <w:rStyle w:val="Hyperlink"/>
                <w:lang w:val="es-CO"/>
              </w:rPr>
            </w:pPr>
            <w:r w:rsidRPr="00D714C1">
              <w:rPr>
                <w:lang w:val="es-CO" w:bidi="es-CO"/>
              </w:rPr>
              <w:fldChar w:fldCharType="begin"/>
            </w:r>
            <w:r w:rsidRPr="00D714C1">
              <w:rPr>
                <w:lang w:val="es-CO" w:bidi="es-CO"/>
              </w:rPr>
              <w:instrText xml:space="preserve"> HYPERLINK "https://www.unocha.org/sites/unocha/files/Global-Humanitarian-Response-Plan-COVID-19.pdf" </w:instrText>
            </w:r>
            <w:r w:rsidRPr="00D714C1">
              <w:rPr>
                <w:lang w:val="es-CO" w:bidi="es-CO"/>
              </w:rPr>
              <w:fldChar w:fldCharType="separate"/>
            </w:r>
            <w:r w:rsidR="0001238C" w:rsidRPr="00D714C1">
              <w:rPr>
                <w:rStyle w:val="Hyperlink"/>
                <w:lang w:val="es-CO" w:bidi="es-CO"/>
              </w:rPr>
              <w:t>PLAN GLOBAL DE RESPUESTA HUMANITARIA</w:t>
            </w:r>
          </w:p>
          <w:p w14:paraId="455EC10C" w14:textId="132AFE1D" w:rsidR="0001238C" w:rsidRPr="00D714C1" w:rsidRDefault="0001238C" w:rsidP="0001238C">
            <w:pPr>
              <w:spacing w:before="0" w:after="0"/>
              <w:jc w:val="left"/>
              <w:rPr>
                <w:lang w:val="es-CO"/>
              </w:rPr>
            </w:pPr>
            <w:r w:rsidRPr="00D714C1">
              <w:rPr>
                <w:rStyle w:val="Hyperlink"/>
                <w:lang w:val="es-CO" w:bidi="es-CO"/>
              </w:rPr>
              <w:t>COVID-19</w:t>
            </w:r>
            <w:r w:rsidR="00442034" w:rsidRPr="00D714C1">
              <w:rPr>
                <w:lang w:val="es-CO" w:bidi="es-CO"/>
              </w:rPr>
              <w:fldChar w:fldCharType="end"/>
            </w:r>
          </w:p>
          <w:p w14:paraId="08F875AA" w14:textId="77777777" w:rsidR="0001238C" w:rsidRPr="00D714C1" w:rsidRDefault="0001238C" w:rsidP="00CE240B">
            <w:pPr>
              <w:spacing w:before="0" w:after="0"/>
              <w:jc w:val="left"/>
              <w:rPr>
                <w:lang w:val="es-CO"/>
              </w:rPr>
            </w:pPr>
          </w:p>
          <w:p w14:paraId="5DA528EB" w14:textId="5F20D0D5" w:rsidR="0031540E" w:rsidRPr="00D714C1" w:rsidRDefault="00A07D20" w:rsidP="00CE240B">
            <w:pPr>
              <w:spacing w:before="0" w:after="0"/>
              <w:jc w:val="left"/>
              <w:rPr>
                <w:lang w:val="es-CO"/>
              </w:rPr>
            </w:pPr>
            <w:r>
              <w:fldChar w:fldCharType="begin"/>
            </w:r>
            <w:r w:rsidRPr="00A07D20">
              <w:rPr>
                <w:lang w:val="es-ES"/>
              </w:rPr>
              <w:instrText xml:space="preserve"> HYPERLINK "https://www.unicef.org/press-releases/un-launches-global-humanitarian-response-plan-covid-19-pandemic" </w:instrText>
            </w:r>
            <w:r>
              <w:fldChar w:fldCharType="separate"/>
            </w:r>
            <w:r w:rsidR="003323F6" w:rsidRPr="00D714C1">
              <w:rPr>
                <w:rStyle w:val="Hyperlink"/>
                <w:lang w:val="es-CO" w:bidi="es-CO"/>
              </w:rPr>
              <w:t>Las Naciones Unidas lanzan plan global de respuesta humanitaria a la pandemia de la COVID-19</w:t>
            </w:r>
            <w:r>
              <w:rPr>
                <w:rStyle w:val="Hyperlink"/>
                <w:lang w:val="es-CO" w:bidi="es-CO"/>
              </w:rPr>
              <w:fldChar w:fldCharType="end"/>
            </w:r>
          </w:p>
        </w:tc>
      </w:tr>
      <w:tr w:rsidR="0031540E" w:rsidRPr="00A07D20" w14:paraId="6D74A7E9" w14:textId="460DFC08" w:rsidTr="26CBD706">
        <w:trPr>
          <w:cantSplit/>
        </w:trPr>
        <w:tc>
          <w:tcPr>
            <w:tcW w:w="2605" w:type="dxa"/>
            <w:shd w:val="clear" w:color="auto" w:fill="E1E9EF" w:themeFill="accent3" w:themeFillTint="33"/>
          </w:tcPr>
          <w:p w14:paraId="31FDCA97" w14:textId="7217E24A" w:rsidR="0031540E" w:rsidRPr="00D714C1" w:rsidRDefault="0031540E" w:rsidP="005C4CB8">
            <w:pPr>
              <w:pStyle w:val="Bold"/>
              <w:rPr>
                <w:lang w:val="es-CO"/>
              </w:rPr>
            </w:pPr>
            <w:r w:rsidRPr="00D714C1">
              <w:rPr>
                <w:lang w:val="es-CO" w:bidi="es-CO"/>
              </w:rPr>
              <w:t>¿Qué pasa con el personal (</w:t>
            </w:r>
            <w:proofErr w:type="spellStart"/>
            <w:r w:rsidRPr="00D714C1">
              <w:rPr>
                <w:lang w:val="es-CO" w:bidi="es-CO"/>
              </w:rPr>
              <w:t>desminadores</w:t>
            </w:r>
            <w:proofErr w:type="spellEnd"/>
            <w:r w:rsidRPr="00D714C1">
              <w:rPr>
                <w:lang w:val="es-CO" w:bidi="es-CO"/>
              </w:rPr>
              <w:t xml:space="preserve">, capacitadores de </w:t>
            </w:r>
            <w:r w:rsidR="00B316FF">
              <w:rPr>
                <w:lang w:val="es-CO" w:bidi="es-CO"/>
              </w:rPr>
              <w:t>educación en el riesgo de artefactos explosivos</w:t>
            </w:r>
            <w:r w:rsidRPr="00D714C1">
              <w:rPr>
                <w:lang w:val="es-CO" w:bidi="es-CO"/>
              </w:rPr>
              <w:t>) en los países en los que las actividades están suspendidas o en los que las actividades se mudaron a los medios digitales?</w:t>
            </w:r>
          </w:p>
        </w:tc>
        <w:tc>
          <w:tcPr>
            <w:tcW w:w="6746" w:type="dxa"/>
          </w:tcPr>
          <w:p w14:paraId="08F1007E" w14:textId="1DAAFDA8" w:rsidR="0031540E" w:rsidRPr="00D714C1" w:rsidRDefault="0031540E" w:rsidP="005C4CB8">
            <w:pPr>
              <w:pStyle w:val="BulletinTable"/>
              <w:rPr>
                <w:lang w:val="es-CO"/>
              </w:rPr>
            </w:pPr>
            <w:r w:rsidRPr="00D714C1">
              <w:rPr>
                <w:lang w:val="es-CO" w:bidi="es-CO"/>
              </w:rPr>
              <w:t xml:space="preserve">¿Se les debe pagar/se les pagará a los </w:t>
            </w:r>
            <w:proofErr w:type="spellStart"/>
            <w:r w:rsidRPr="00D714C1">
              <w:rPr>
                <w:lang w:val="es-CO" w:bidi="es-CO"/>
              </w:rPr>
              <w:t>desminadores</w:t>
            </w:r>
            <w:proofErr w:type="spellEnd"/>
            <w:r w:rsidRPr="00D714C1">
              <w:rPr>
                <w:lang w:val="es-CO" w:bidi="es-CO"/>
              </w:rPr>
              <w:t xml:space="preserve"> que están en espera debido a la COVID-19 en distintos países? ¿Y por cuánto tiempo? ¿Existe una política para esos casos?</w:t>
            </w:r>
          </w:p>
          <w:p w14:paraId="0CCF09E5" w14:textId="576DF1D9" w:rsidR="0031540E" w:rsidRPr="00D714C1" w:rsidRDefault="0031540E" w:rsidP="005C4CB8">
            <w:pPr>
              <w:pStyle w:val="BulletinTable"/>
              <w:rPr>
                <w:lang w:val="es-CO"/>
              </w:rPr>
            </w:pPr>
            <w:r w:rsidRPr="00D714C1">
              <w:rPr>
                <w:lang w:val="es-CO" w:bidi="es-CO"/>
              </w:rPr>
              <w:t xml:space="preserve">¿Alguna experiencia de la participación del personal de campo en actividades en medios de comunicación/redes sociales (o alternativas)? Como el personal de campo de educación de riesgos en su mayoría correrá el riesgo de perder su trabajo si la modalidad de </w:t>
            </w:r>
            <w:r w:rsidR="00B316FF">
              <w:rPr>
                <w:lang w:val="es-CO" w:bidi="es-CO"/>
              </w:rPr>
              <w:t>educación en el riesgo de artefactos explosivos</w:t>
            </w:r>
            <w:r w:rsidRPr="00D714C1">
              <w:rPr>
                <w:lang w:val="es-CO" w:bidi="es-CO"/>
              </w:rPr>
              <w:t xml:space="preserve"> se muda abruptamente a los medios digitales.</w:t>
            </w:r>
          </w:p>
        </w:tc>
        <w:tc>
          <w:tcPr>
            <w:tcW w:w="8685" w:type="dxa"/>
            <w:shd w:val="clear" w:color="auto" w:fill="E1E9EF" w:themeFill="accent3" w:themeFillTint="33"/>
          </w:tcPr>
          <w:p w14:paraId="77DFB3CD" w14:textId="22ED88F1" w:rsidR="004863C8" w:rsidRPr="00D714C1" w:rsidRDefault="032FBD3F" w:rsidP="098937A5">
            <w:pPr>
              <w:pStyle w:val="BulletinTable"/>
              <w:numPr>
                <w:ilvl w:val="0"/>
                <w:numId w:val="0"/>
              </w:numPr>
              <w:rPr>
                <w:rFonts w:eastAsia="Microsoft YaHei UI"/>
                <w:lang w:val="es-CO" w:eastAsia="en-GB"/>
              </w:rPr>
            </w:pPr>
            <w:r w:rsidRPr="00D714C1">
              <w:rPr>
                <w:rFonts w:eastAsia="Microsoft YaHei UI"/>
                <w:lang w:val="es-CO" w:bidi="es-CO"/>
              </w:rPr>
              <w:t xml:space="preserve">Los operadores de acción contra minas están contactando a los donantes ahora para ver las políticas del caso. Un par se ha mostrado positivo y dice estar preparado para seguir cubriendo los salarios del personal que no puede trabajar por la COVID-19. </w:t>
            </w:r>
          </w:p>
          <w:p w14:paraId="58D81A40" w14:textId="07A63563" w:rsidR="00FC6154" w:rsidRPr="00D714C1" w:rsidRDefault="032FBD3F" w:rsidP="098937A5">
            <w:pPr>
              <w:pStyle w:val="BulletinTable"/>
              <w:numPr>
                <w:ilvl w:val="0"/>
                <w:numId w:val="0"/>
              </w:numPr>
              <w:rPr>
                <w:rFonts w:eastAsia="Microsoft YaHei UI"/>
                <w:lang w:val="es-CO" w:eastAsia="en-GB"/>
              </w:rPr>
            </w:pPr>
            <w:r w:rsidRPr="00D714C1">
              <w:rPr>
                <w:rFonts w:eastAsia="Microsoft YaHei UI"/>
                <w:lang w:val="es-CO" w:bidi="es-CO"/>
              </w:rPr>
              <w:t xml:space="preserve">Hay preocupaciones por los </w:t>
            </w:r>
            <w:proofErr w:type="spellStart"/>
            <w:r w:rsidRPr="00D714C1">
              <w:rPr>
                <w:rFonts w:eastAsia="Microsoft YaHei UI"/>
                <w:lang w:val="es-CO" w:bidi="es-CO"/>
              </w:rPr>
              <w:t>desminadores</w:t>
            </w:r>
            <w:proofErr w:type="spellEnd"/>
            <w:r w:rsidRPr="00D714C1">
              <w:rPr>
                <w:rFonts w:eastAsia="Microsoft YaHei UI"/>
                <w:lang w:val="es-CO" w:bidi="es-CO"/>
              </w:rPr>
              <w:t>, para quienes la pérdida de sus ingresos tendría un impacto importante, por lo que hay que ver qué se puede hacer para mitigar eso.</w:t>
            </w:r>
          </w:p>
          <w:p w14:paraId="01F1230E" w14:textId="2F7D5DB9" w:rsidR="0031540E" w:rsidRPr="00D714C1" w:rsidRDefault="4F837639" w:rsidP="098937A5">
            <w:pPr>
              <w:pStyle w:val="BulletinTable"/>
              <w:numPr>
                <w:ilvl w:val="0"/>
                <w:numId w:val="0"/>
              </w:numPr>
              <w:spacing w:before="0" w:after="0"/>
              <w:rPr>
                <w:rFonts w:eastAsia="Microsoft YaHei UI"/>
                <w:lang w:val="es-CO" w:eastAsia="en-GB"/>
              </w:rPr>
            </w:pPr>
            <w:r w:rsidRPr="00D714C1">
              <w:rPr>
                <w:rFonts w:eastAsia="Microsoft YaHei UI"/>
                <w:lang w:val="es-CO" w:bidi="es-CO"/>
              </w:rPr>
              <w:t xml:space="preserve">Al menos temporalmente tendremos que ser creativos para reorientar a la fuerza laboral de </w:t>
            </w:r>
            <w:r w:rsidR="00B316FF">
              <w:rPr>
                <w:rFonts w:eastAsia="Microsoft YaHei UI"/>
                <w:lang w:val="es-CO" w:bidi="es-CO"/>
              </w:rPr>
              <w:t>educación en el riesgo de artefactos explosivos</w:t>
            </w:r>
            <w:r w:rsidRPr="00D714C1">
              <w:rPr>
                <w:rFonts w:eastAsia="Microsoft YaHei UI"/>
                <w:lang w:val="es-CO" w:bidi="es-CO"/>
              </w:rPr>
              <w:t xml:space="preserve"> de actividades en persona a métodos remotos/digitales de </w:t>
            </w:r>
            <w:r w:rsidR="00B316FF">
              <w:rPr>
                <w:rFonts w:eastAsia="Microsoft YaHei UI"/>
                <w:lang w:val="es-CO" w:bidi="es-CO"/>
              </w:rPr>
              <w:t>educación en el riesgo de artefactos explosivos</w:t>
            </w:r>
            <w:r w:rsidRPr="00D714C1">
              <w:rPr>
                <w:rFonts w:eastAsia="Microsoft YaHei UI"/>
                <w:lang w:val="es-CO" w:bidi="es-CO"/>
              </w:rPr>
              <w:t xml:space="preserve"> y educación de riesgos de COVID.</w:t>
            </w:r>
          </w:p>
          <w:p w14:paraId="4B01A7FB" w14:textId="77777777" w:rsidR="00D64AD1" w:rsidRPr="00D714C1" w:rsidRDefault="00D64AD1" w:rsidP="098937A5">
            <w:pPr>
              <w:pStyle w:val="BulletinTable"/>
              <w:numPr>
                <w:ilvl w:val="0"/>
                <w:numId w:val="0"/>
              </w:numPr>
              <w:spacing w:before="0" w:after="0"/>
              <w:rPr>
                <w:rFonts w:eastAsia="Microsoft YaHei UI"/>
                <w:lang w:val="es-CO" w:eastAsia="en-GB"/>
              </w:rPr>
            </w:pPr>
          </w:p>
          <w:p w14:paraId="28321E12" w14:textId="22EF2980" w:rsidR="007204EC" w:rsidRPr="00D714C1" w:rsidRDefault="009E4460" w:rsidP="007204EC">
            <w:pPr>
              <w:pStyle w:val="BulletinTable"/>
              <w:numPr>
                <w:ilvl w:val="0"/>
                <w:numId w:val="0"/>
              </w:numPr>
              <w:spacing w:before="0" w:after="0"/>
              <w:rPr>
                <w:lang w:val="es-CO" w:eastAsia="en-GB"/>
              </w:rPr>
            </w:pPr>
            <w:r w:rsidRPr="00D714C1">
              <w:rPr>
                <w:lang w:val="es-CO" w:bidi="es-CO"/>
              </w:rPr>
              <w:t xml:space="preserve">Ejemplo de enfoque de ONG en la lucha contra la COVID-19: </w:t>
            </w:r>
            <w:r w:rsidR="00A07D20">
              <w:fldChar w:fldCharType="begin"/>
            </w:r>
            <w:r w:rsidR="00A07D20" w:rsidRPr="00A07D20">
              <w:rPr>
                <w:lang w:val="es-ES"/>
              </w:rPr>
              <w:instrText xml:space="preserve"> HYPERLINK "https://www.halotrust.org/" </w:instrText>
            </w:r>
            <w:r w:rsidR="00A07D20">
              <w:fldChar w:fldCharType="separate"/>
            </w:r>
            <w:r w:rsidR="007204EC" w:rsidRPr="00D714C1">
              <w:rPr>
                <w:rStyle w:val="Hyperlink"/>
                <w:lang w:val="es-CO" w:bidi="es-CO"/>
              </w:rPr>
              <w:t>HALO Trust</w:t>
            </w:r>
            <w:r w:rsidR="00A07D20">
              <w:rPr>
                <w:rStyle w:val="Hyperlink"/>
                <w:lang w:val="es-CO" w:bidi="es-CO"/>
              </w:rPr>
              <w:fldChar w:fldCharType="end"/>
            </w:r>
            <w:r w:rsidRPr="00D714C1">
              <w:rPr>
                <w:lang w:val="es-CO" w:bidi="es-CO"/>
              </w:rPr>
              <w:t xml:space="preserve"> está: </w:t>
            </w:r>
          </w:p>
          <w:p w14:paraId="25B87048" w14:textId="48082D2E" w:rsidR="007204EC" w:rsidRPr="00D714C1" w:rsidRDefault="007204EC" w:rsidP="007204EC">
            <w:pPr>
              <w:pStyle w:val="BulletinTable"/>
              <w:spacing w:before="0" w:after="0"/>
              <w:rPr>
                <w:lang w:val="es-CO" w:eastAsia="en-GB"/>
              </w:rPr>
            </w:pPr>
            <w:r w:rsidRPr="00D714C1">
              <w:rPr>
                <w:lang w:val="es-CO" w:bidi="es-CO"/>
              </w:rPr>
              <w:t>Llevando insumos médicos vitales y trabajadores de la salud a las comunidades difíciles de llegar;</w:t>
            </w:r>
          </w:p>
          <w:p w14:paraId="2FB84888" w14:textId="7CBA214A" w:rsidR="007204EC" w:rsidRPr="00D714C1" w:rsidRDefault="007204EC" w:rsidP="007204EC">
            <w:pPr>
              <w:pStyle w:val="BulletinTable"/>
              <w:spacing w:before="0" w:after="0"/>
              <w:rPr>
                <w:lang w:val="es-CO" w:eastAsia="en-GB"/>
              </w:rPr>
            </w:pPr>
            <w:r w:rsidRPr="00D714C1">
              <w:rPr>
                <w:lang w:val="es-CO" w:bidi="es-CO"/>
              </w:rPr>
              <w:t>Distribuyendo kits sanitarios en pueblos y campos de refugiados;</w:t>
            </w:r>
          </w:p>
          <w:p w14:paraId="461285BC" w14:textId="6A33520C" w:rsidR="00707B37" w:rsidRPr="00D714C1" w:rsidRDefault="007204EC" w:rsidP="007204EC">
            <w:pPr>
              <w:pStyle w:val="BulletinTable"/>
              <w:spacing w:before="0" w:after="0"/>
              <w:rPr>
                <w:lang w:val="es-CO" w:eastAsia="en-GB"/>
              </w:rPr>
            </w:pPr>
            <w:r w:rsidRPr="00D714C1">
              <w:rPr>
                <w:lang w:val="es-CO" w:bidi="es-CO"/>
              </w:rPr>
              <w:t>Usando competencias de mapeo para ayudar a los países a rastrear la propagación de la COVID-19;</w:t>
            </w:r>
          </w:p>
          <w:p w14:paraId="1630E959" w14:textId="4C17CC5F" w:rsidR="00D64AD1" w:rsidRPr="00D714C1" w:rsidRDefault="007204EC" w:rsidP="007204EC">
            <w:pPr>
              <w:pStyle w:val="BulletinTable"/>
              <w:spacing w:before="0" w:after="0"/>
              <w:rPr>
                <w:lang w:val="es-CO" w:eastAsia="en-GB"/>
              </w:rPr>
            </w:pPr>
            <w:r w:rsidRPr="00D714C1">
              <w:rPr>
                <w:lang w:val="es-CO" w:bidi="es-CO"/>
              </w:rPr>
              <w:t>Ofreciendo ambulancias y conductores para apoyar a las organizaciones benéficas médicas.</w:t>
            </w:r>
          </w:p>
        </w:tc>
        <w:tc>
          <w:tcPr>
            <w:tcW w:w="3223" w:type="dxa"/>
            <w:shd w:val="clear" w:color="auto" w:fill="FFFFFF" w:themeFill="background1"/>
          </w:tcPr>
          <w:p w14:paraId="218A9A65" w14:textId="77777777" w:rsidR="0031540E" w:rsidRPr="00D714C1" w:rsidRDefault="0031540E" w:rsidP="00CE240B">
            <w:pPr>
              <w:spacing w:before="0" w:after="0"/>
              <w:jc w:val="left"/>
              <w:rPr>
                <w:lang w:val="es-CO"/>
              </w:rPr>
            </w:pPr>
          </w:p>
        </w:tc>
      </w:tr>
      <w:tr w:rsidR="0031540E" w:rsidRPr="00A07D20" w14:paraId="7C1EC645" w14:textId="673353CA" w:rsidTr="26CBD706">
        <w:trPr>
          <w:cantSplit/>
        </w:trPr>
        <w:tc>
          <w:tcPr>
            <w:tcW w:w="2605" w:type="dxa"/>
            <w:shd w:val="clear" w:color="auto" w:fill="E1E9EF" w:themeFill="accent3" w:themeFillTint="33"/>
          </w:tcPr>
          <w:p w14:paraId="2F5A98C5" w14:textId="35315283" w:rsidR="0031540E" w:rsidRPr="00D714C1" w:rsidRDefault="0031540E" w:rsidP="005C4CB8">
            <w:pPr>
              <w:pStyle w:val="Bold"/>
              <w:rPr>
                <w:lang w:val="es-CO"/>
              </w:rPr>
            </w:pPr>
            <w:r w:rsidRPr="00D714C1">
              <w:rPr>
                <w:lang w:val="es-CO" w:bidi="es-CO"/>
              </w:rPr>
              <w:lastRenderedPageBreak/>
              <w:t xml:space="preserve">¿Cuáles son las implicaciones presupuestarias de un enfoque integrado de </w:t>
            </w:r>
            <w:r w:rsidR="00B316FF">
              <w:rPr>
                <w:lang w:val="es-CO" w:bidi="es-CO"/>
              </w:rPr>
              <w:t>educación en el riesgo de artefactos explosivos</w:t>
            </w:r>
            <w:r w:rsidRPr="00D714C1">
              <w:rPr>
                <w:lang w:val="es-CO" w:bidi="es-CO"/>
              </w:rPr>
              <w:t>/COVID-19? ¿Se amoldarán a esto los donantes?</w:t>
            </w:r>
          </w:p>
        </w:tc>
        <w:tc>
          <w:tcPr>
            <w:tcW w:w="6746" w:type="dxa"/>
          </w:tcPr>
          <w:p w14:paraId="130BBC88" w14:textId="2136383E" w:rsidR="0031540E" w:rsidRPr="00D714C1" w:rsidRDefault="0031540E" w:rsidP="005C4CB8">
            <w:pPr>
              <w:pStyle w:val="BulletinTable"/>
              <w:rPr>
                <w:lang w:val="es-CO"/>
              </w:rPr>
            </w:pPr>
            <w:r w:rsidRPr="00D714C1">
              <w:rPr>
                <w:lang w:val="es-CO" w:bidi="es-CO"/>
              </w:rPr>
              <w:t xml:space="preserve">El presupuesto es muy limitado para responder a la pandemia y al programa integrado de </w:t>
            </w:r>
            <w:r w:rsidR="00B316FF">
              <w:rPr>
                <w:lang w:val="es-CO" w:bidi="es-CO"/>
              </w:rPr>
              <w:t>educación en el riesgo de artefactos explosivos</w:t>
            </w:r>
            <w:r w:rsidRPr="00D714C1">
              <w:rPr>
                <w:lang w:val="es-CO" w:bidi="es-CO"/>
              </w:rPr>
              <w:t xml:space="preserve"> en la mayoría de las áreas. ¿Qué se está haciendo para abogar por un mayor presupuesto y cuál es el plan a futuro? ¿Hay un monto específico asignado para esta respuesta?</w:t>
            </w:r>
          </w:p>
        </w:tc>
        <w:tc>
          <w:tcPr>
            <w:tcW w:w="8685" w:type="dxa"/>
            <w:shd w:val="clear" w:color="auto" w:fill="E1E9EF" w:themeFill="accent3" w:themeFillTint="33"/>
          </w:tcPr>
          <w:p w14:paraId="1F25BC3C" w14:textId="0730445E" w:rsidR="00427F65" w:rsidRPr="00D714C1" w:rsidRDefault="39903799" w:rsidP="098937A5">
            <w:pPr>
              <w:rPr>
                <w:rFonts w:ascii="Calibri" w:hAnsi="Calibri"/>
                <w:lang w:val="es-CO" w:eastAsia="en-GB"/>
              </w:rPr>
            </w:pPr>
            <w:r w:rsidRPr="00D714C1">
              <w:rPr>
                <w:lang w:val="es-CO" w:bidi="es-CO"/>
              </w:rPr>
              <w:t xml:space="preserve">Es un poco prematuro documentar las implicaciones presupuestarias de los enfoques integrados de </w:t>
            </w:r>
            <w:r w:rsidR="00B316FF">
              <w:rPr>
                <w:lang w:val="es-CO" w:bidi="es-CO"/>
              </w:rPr>
              <w:t>educación en el riesgo de artefactos explosivos</w:t>
            </w:r>
            <w:r w:rsidRPr="00D714C1">
              <w:rPr>
                <w:lang w:val="es-CO" w:bidi="es-CO"/>
              </w:rPr>
              <w:t xml:space="preserve">/educación de riesgos de COVID. Sin embargo, tenemos que entrar en un diálogo positivo con los donantes, quienes siguen siendo un apoyo enorme y comprenden los retos. MAG, por ejemplo, pidió financiación adicional para mejorar la </w:t>
            </w:r>
            <w:r w:rsidR="00B316FF">
              <w:rPr>
                <w:lang w:val="es-CO" w:bidi="es-CO"/>
              </w:rPr>
              <w:t>educación en el riesgo de artefactos explosivos</w:t>
            </w:r>
            <w:r w:rsidRPr="00D714C1">
              <w:rPr>
                <w:lang w:val="es-CO" w:bidi="es-CO"/>
              </w:rPr>
              <w:t xml:space="preserve"> a través de los medios de comunicación y medios digitales.</w:t>
            </w:r>
          </w:p>
          <w:p w14:paraId="4197EAFD" w14:textId="73C612A7" w:rsidR="0031540E" w:rsidRPr="00D714C1" w:rsidRDefault="72D58314" w:rsidP="098937A5">
            <w:pPr>
              <w:pStyle w:val="BulletinTable"/>
              <w:numPr>
                <w:ilvl w:val="0"/>
                <w:numId w:val="0"/>
              </w:numPr>
              <w:spacing w:before="0" w:after="0"/>
              <w:rPr>
                <w:lang w:val="es-CO"/>
              </w:rPr>
            </w:pPr>
            <w:r w:rsidRPr="00D714C1">
              <w:rPr>
                <w:lang w:val="es-CO" w:bidi="es-CO"/>
              </w:rPr>
              <w:t xml:space="preserve">Los donantes financiarán la respuesta a la emergencia de la COVID-19 y podremos incluir </w:t>
            </w:r>
            <w:r w:rsidR="00B316FF">
              <w:rPr>
                <w:lang w:val="es-CO" w:bidi="es-CO"/>
              </w:rPr>
              <w:t>educación en el riesgo de artefactos explosivos</w:t>
            </w:r>
            <w:r w:rsidRPr="00D714C1">
              <w:rPr>
                <w:lang w:val="es-CO" w:bidi="es-CO"/>
              </w:rPr>
              <w:t xml:space="preserve"> en las estrategias de prevención de la COVID-19 que propone el UNICEF, la OMS y otras organizaciones en los recursos globales/nacionales de respuesta a la COVID-19.</w:t>
            </w:r>
          </w:p>
        </w:tc>
        <w:tc>
          <w:tcPr>
            <w:tcW w:w="3223" w:type="dxa"/>
            <w:shd w:val="clear" w:color="auto" w:fill="FFFFFF" w:themeFill="background1"/>
          </w:tcPr>
          <w:p w14:paraId="37225DC0" w14:textId="77777777" w:rsidR="0031540E" w:rsidRPr="00D714C1" w:rsidRDefault="0031540E" w:rsidP="00CE240B">
            <w:pPr>
              <w:spacing w:before="0" w:after="0"/>
              <w:jc w:val="left"/>
              <w:rPr>
                <w:lang w:val="es-CO"/>
              </w:rPr>
            </w:pPr>
          </w:p>
        </w:tc>
      </w:tr>
    </w:tbl>
    <w:p w14:paraId="5645A225" w14:textId="77777777" w:rsidR="005C4CB8" w:rsidRPr="00D714C1" w:rsidRDefault="005C4CB8" w:rsidP="005C4CB8">
      <w:pPr>
        <w:rPr>
          <w:lang w:val="es-CO"/>
        </w:rPr>
      </w:pPr>
    </w:p>
    <w:p w14:paraId="1FEF7F39" w14:textId="77777777" w:rsidR="001B0F08" w:rsidRPr="00D714C1" w:rsidRDefault="001B0F08" w:rsidP="00DB22B3">
      <w:pPr>
        <w:pStyle w:val="Heading1"/>
        <w:rPr>
          <w:lang w:val="es-CO"/>
        </w:rPr>
      </w:pPr>
      <w:r w:rsidRPr="00D714C1">
        <w:rPr>
          <w:lang w:val="es-CO" w:bidi="es-CO"/>
        </w:rPr>
        <w:br w:type="page"/>
      </w:r>
    </w:p>
    <w:p w14:paraId="15543ADA" w14:textId="745C1ED4" w:rsidR="00157432" w:rsidRPr="00D714C1" w:rsidRDefault="00DB22B3" w:rsidP="00DB22B3">
      <w:pPr>
        <w:pStyle w:val="Heading1"/>
        <w:rPr>
          <w:lang w:val="es-CO"/>
        </w:rPr>
      </w:pPr>
      <w:bookmarkStart w:id="6" w:name="_Toc44425358"/>
      <w:r w:rsidRPr="00D714C1">
        <w:rPr>
          <w:lang w:val="es-CO" w:bidi="es-CO"/>
        </w:rPr>
        <w:lastRenderedPageBreak/>
        <w:t>Otros</w:t>
      </w:r>
      <w:bookmarkEnd w:id="6"/>
    </w:p>
    <w:tbl>
      <w:tblPr>
        <w:tblStyle w:val="TableGrid"/>
        <w:tblW w:w="21259" w:type="dxa"/>
        <w:tblInd w:w="0" w:type="dxa"/>
        <w:tblLayout w:type="fixed"/>
        <w:tblCellMar>
          <w:top w:w="57" w:type="dxa"/>
          <w:bottom w:w="57" w:type="dxa"/>
        </w:tblCellMar>
        <w:tblLook w:val="04A0" w:firstRow="1" w:lastRow="0" w:firstColumn="1" w:lastColumn="0" w:noHBand="0" w:noVBand="1"/>
      </w:tblPr>
      <w:tblGrid>
        <w:gridCol w:w="2605"/>
        <w:gridCol w:w="6746"/>
        <w:gridCol w:w="8730"/>
        <w:gridCol w:w="3178"/>
      </w:tblGrid>
      <w:tr w:rsidR="008E1E90" w:rsidRPr="00D714C1" w14:paraId="198C6F74" w14:textId="387F035B" w:rsidTr="098937A5">
        <w:trPr>
          <w:cantSplit/>
          <w:tblHeader/>
        </w:trPr>
        <w:tc>
          <w:tcPr>
            <w:tcW w:w="2605" w:type="dxa"/>
            <w:shd w:val="clear" w:color="auto" w:fill="6D96B3" w:themeFill="accent3"/>
          </w:tcPr>
          <w:p w14:paraId="5F136078" w14:textId="77777777" w:rsidR="008E1E90" w:rsidRPr="00D714C1" w:rsidRDefault="008E1E90" w:rsidP="00CE240B">
            <w:pPr>
              <w:pStyle w:val="NoSpacing"/>
              <w:rPr>
                <w:b/>
                <w:bCs/>
                <w:color w:val="FFFFFF" w:themeColor="background1"/>
                <w:lang w:val="es-CO"/>
              </w:rPr>
            </w:pPr>
            <w:r w:rsidRPr="00D714C1">
              <w:rPr>
                <w:b/>
                <w:color w:val="FFFFFF" w:themeColor="background1"/>
                <w:lang w:val="es-CO" w:bidi="es-CO"/>
              </w:rPr>
              <w:t>Pregunta general</w:t>
            </w:r>
          </w:p>
        </w:tc>
        <w:tc>
          <w:tcPr>
            <w:tcW w:w="6746" w:type="dxa"/>
            <w:shd w:val="clear" w:color="auto" w:fill="6D96B3" w:themeFill="accent3"/>
          </w:tcPr>
          <w:p w14:paraId="0568CD57" w14:textId="77777777" w:rsidR="008E1E90" w:rsidRPr="00D714C1" w:rsidRDefault="008E1E90" w:rsidP="00CE240B">
            <w:pPr>
              <w:pStyle w:val="NoSpacing"/>
              <w:rPr>
                <w:b/>
                <w:bCs/>
                <w:color w:val="FFFFFF" w:themeColor="background1"/>
                <w:lang w:val="es-CO"/>
              </w:rPr>
            </w:pPr>
            <w:r w:rsidRPr="00D714C1">
              <w:rPr>
                <w:b/>
                <w:color w:val="FFFFFF" w:themeColor="background1"/>
                <w:lang w:val="es-CO" w:bidi="es-CO"/>
              </w:rPr>
              <w:t>Preguntas recibidas</w:t>
            </w:r>
          </w:p>
        </w:tc>
        <w:tc>
          <w:tcPr>
            <w:tcW w:w="8730" w:type="dxa"/>
            <w:shd w:val="clear" w:color="auto" w:fill="6D96B3" w:themeFill="accent3"/>
          </w:tcPr>
          <w:p w14:paraId="558CE726" w14:textId="77777777" w:rsidR="008E1E90" w:rsidRPr="00D714C1" w:rsidRDefault="008E1E90" w:rsidP="00CE240B">
            <w:pPr>
              <w:pStyle w:val="NoSpacing"/>
              <w:rPr>
                <w:b/>
                <w:bCs/>
                <w:color w:val="FFFFFF" w:themeColor="background1"/>
                <w:lang w:val="es-CO"/>
              </w:rPr>
            </w:pPr>
            <w:r w:rsidRPr="00D714C1">
              <w:rPr>
                <w:b/>
                <w:color w:val="FFFFFF" w:themeColor="background1"/>
                <w:lang w:val="es-CO" w:bidi="es-CO"/>
              </w:rPr>
              <w:t>Respuesta</w:t>
            </w:r>
          </w:p>
        </w:tc>
        <w:tc>
          <w:tcPr>
            <w:tcW w:w="3178" w:type="dxa"/>
            <w:shd w:val="clear" w:color="auto" w:fill="6D96B3" w:themeFill="accent3"/>
          </w:tcPr>
          <w:p w14:paraId="7BB07E51" w14:textId="3BF88431" w:rsidR="008E1E90" w:rsidRPr="00D714C1" w:rsidRDefault="008E1E90" w:rsidP="00CE240B">
            <w:pPr>
              <w:pStyle w:val="NoSpacing"/>
              <w:rPr>
                <w:b/>
                <w:bCs/>
                <w:color w:val="FFFFFF" w:themeColor="background1"/>
                <w:lang w:val="es-CO"/>
              </w:rPr>
            </w:pPr>
            <w:r w:rsidRPr="00D714C1">
              <w:rPr>
                <w:b/>
                <w:color w:val="FFFFFF" w:themeColor="background1"/>
                <w:lang w:val="es-CO" w:bidi="es-CO"/>
              </w:rPr>
              <w:t>Guía</w:t>
            </w:r>
          </w:p>
        </w:tc>
      </w:tr>
      <w:tr w:rsidR="008E1E90" w:rsidRPr="00A07D20" w14:paraId="0E53E0BE" w14:textId="2CE95470" w:rsidTr="098937A5">
        <w:trPr>
          <w:cantSplit/>
        </w:trPr>
        <w:tc>
          <w:tcPr>
            <w:tcW w:w="2605" w:type="dxa"/>
            <w:shd w:val="clear" w:color="auto" w:fill="E1E9EF" w:themeFill="accent3" w:themeFillTint="33"/>
          </w:tcPr>
          <w:p w14:paraId="3B9C7607" w14:textId="2A8E6555" w:rsidR="008E1E90" w:rsidRPr="00D714C1" w:rsidRDefault="008E1E90" w:rsidP="005C4CB8">
            <w:pPr>
              <w:pStyle w:val="Bold"/>
              <w:rPr>
                <w:lang w:val="es-CO"/>
              </w:rPr>
            </w:pPr>
            <w:r w:rsidRPr="00D714C1">
              <w:rPr>
                <w:lang w:val="es-CO" w:bidi="es-CO"/>
              </w:rPr>
              <w:t xml:space="preserve">¿Cuál es la criticidad del programa de </w:t>
            </w:r>
            <w:r w:rsidR="00B316FF">
              <w:rPr>
                <w:lang w:val="es-CO" w:bidi="es-CO"/>
              </w:rPr>
              <w:t>educación en el riesgo de artefactos explosivos</w:t>
            </w:r>
            <w:r w:rsidRPr="00D714C1">
              <w:rPr>
                <w:lang w:val="es-CO" w:bidi="es-CO"/>
              </w:rPr>
              <w:t>?</w:t>
            </w:r>
          </w:p>
        </w:tc>
        <w:tc>
          <w:tcPr>
            <w:tcW w:w="6746" w:type="dxa"/>
          </w:tcPr>
          <w:p w14:paraId="7C68CFEB" w14:textId="22AC2B53" w:rsidR="008E1E90" w:rsidRPr="00D714C1" w:rsidRDefault="008E1E90" w:rsidP="005C4CB8">
            <w:pPr>
              <w:pStyle w:val="BulletinTable"/>
              <w:rPr>
                <w:lang w:val="es-CO"/>
              </w:rPr>
            </w:pPr>
            <w:r w:rsidRPr="00D714C1">
              <w:rPr>
                <w:lang w:val="es-CO" w:bidi="es-CO"/>
              </w:rPr>
              <w:t xml:space="preserve">¿Qué orientación hay para el sector respecto de la criticidad del programa de </w:t>
            </w:r>
            <w:r w:rsidR="00B316FF">
              <w:rPr>
                <w:lang w:val="es-CO" w:bidi="es-CO"/>
              </w:rPr>
              <w:t>educación en el riesgo de artefactos explosivos</w:t>
            </w:r>
            <w:r w:rsidRPr="00D714C1">
              <w:rPr>
                <w:lang w:val="es-CO" w:bidi="es-CO"/>
              </w:rPr>
              <w:t>?</w:t>
            </w:r>
          </w:p>
        </w:tc>
        <w:tc>
          <w:tcPr>
            <w:tcW w:w="8730" w:type="dxa"/>
            <w:shd w:val="clear" w:color="auto" w:fill="E1E9EF" w:themeFill="accent3" w:themeFillTint="33"/>
          </w:tcPr>
          <w:p w14:paraId="3FF641BB" w14:textId="18E1069A" w:rsidR="00153EE3" w:rsidRPr="00D714C1" w:rsidRDefault="1B768511" w:rsidP="098937A5">
            <w:pPr>
              <w:pStyle w:val="BulletinTable"/>
              <w:numPr>
                <w:ilvl w:val="0"/>
                <w:numId w:val="0"/>
              </w:numPr>
              <w:rPr>
                <w:lang w:val="es-CO"/>
              </w:rPr>
            </w:pPr>
            <w:r w:rsidRPr="00D714C1">
              <w:rPr>
                <w:lang w:val="es-CO" w:bidi="es-CO"/>
              </w:rPr>
              <w:t xml:space="preserve">La criticidad de la </w:t>
            </w:r>
            <w:r w:rsidR="00B316FF">
              <w:rPr>
                <w:lang w:val="es-CO" w:bidi="es-CO"/>
              </w:rPr>
              <w:t>educación en el riesgo de artefactos explosivos</w:t>
            </w:r>
            <w:r w:rsidRPr="00D714C1">
              <w:rPr>
                <w:lang w:val="es-CO" w:bidi="es-CO"/>
              </w:rPr>
              <w:t xml:space="preserve"> depende del nivel de amenaza de artefactos explosivos (en particular la incidencia de explosiones de artefactos explosivos o el riesgo esperado por el desplazamiento masivo de las poblaciones). La COVID-19 puede provocar una migración masiva y se requerirá, por lo tanto, una educación mejorada de riesgos de artefactos explosivos. </w:t>
            </w:r>
          </w:p>
          <w:p w14:paraId="228CCAFC" w14:textId="1E770FDF" w:rsidR="008E1E90" w:rsidRPr="00D714C1" w:rsidRDefault="4A477BA5" w:rsidP="00153EE3">
            <w:pPr>
              <w:spacing w:before="0" w:after="0"/>
              <w:jc w:val="left"/>
              <w:rPr>
                <w:lang w:val="es-CO"/>
              </w:rPr>
            </w:pPr>
            <w:r w:rsidRPr="00D714C1">
              <w:rPr>
                <w:lang w:val="es-CO" w:bidi="es-CO"/>
              </w:rPr>
              <w:t>La acción contra minas es un imperativo humanitario en muchos contextos, salva vidas y debe ocupar un lugar importante en la criticidad del programa.</w:t>
            </w:r>
          </w:p>
        </w:tc>
        <w:tc>
          <w:tcPr>
            <w:tcW w:w="3178" w:type="dxa"/>
            <w:shd w:val="clear" w:color="auto" w:fill="FFFFFF" w:themeFill="background1"/>
          </w:tcPr>
          <w:p w14:paraId="0E5920FC" w14:textId="77777777" w:rsidR="008E1E90" w:rsidRPr="00D714C1" w:rsidRDefault="008E1E90" w:rsidP="00CE240B">
            <w:pPr>
              <w:spacing w:before="0" w:after="0"/>
              <w:jc w:val="left"/>
              <w:rPr>
                <w:lang w:val="es-CO"/>
              </w:rPr>
            </w:pPr>
          </w:p>
        </w:tc>
      </w:tr>
      <w:tr w:rsidR="008E1E90" w:rsidRPr="00A07D20" w14:paraId="3FCF69D1" w14:textId="653A453B" w:rsidTr="098937A5">
        <w:trPr>
          <w:cantSplit/>
        </w:trPr>
        <w:tc>
          <w:tcPr>
            <w:tcW w:w="2605" w:type="dxa"/>
            <w:shd w:val="clear" w:color="auto" w:fill="E1E9EF" w:themeFill="accent3" w:themeFillTint="33"/>
          </w:tcPr>
          <w:p w14:paraId="42E19F88" w14:textId="528F3034" w:rsidR="008E1E90" w:rsidRPr="00D714C1" w:rsidRDefault="008E1E90" w:rsidP="005C4CB8">
            <w:pPr>
              <w:pStyle w:val="Bold"/>
              <w:rPr>
                <w:lang w:val="es-CO"/>
              </w:rPr>
            </w:pPr>
            <w:r w:rsidRPr="00D714C1">
              <w:rPr>
                <w:lang w:val="es-CO" w:bidi="es-CO"/>
              </w:rPr>
              <w:t>¿Qué se ha planificado para el Día de Información sobre el Peligro de las Minas (4 de abril)?</w:t>
            </w:r>
          </w:p>
        </w:tc>
        <w:tc>
          <w:tcPr>
            <w:tcW w:w="6746" w:type="dxa"/>
          </w:tcPr>
          <w:p w14:paraId="1B036D9B" w14:textId="12D1F430" w:rsidR="008E1E90" w:rsidRPr="00D714C1" w:rsidRDefault="008E1E90" w:rsidP="005C4CB8">
            <w:pPr>
              <w:pStyle w:val="BulletinTable"/>
              <w:rPr>
                <w:lang w:val="es-CO"/>
              </w:rPr>
            </w:pPr>
            <w:r w:rsidRPr="00D714C1">
              <w:rPr>
                <w:lang w:val="es-CO" w:bidi="es-CO"/>
              </w:rPr>
              <w:t>¿Alguien organizará mensajes, eventos, presentaciones por el 4 de abril?</w:t>
            </w:r>
          </w:p>
        </w:tc>
        <w:tc>
          <w:tcPr>
            <w:tcW w:w="8730" w:type="dxa"/>
            <w:shd w:val="clear" w:color="auto" w:fill="E1E9EF" w:themeFill="accent3" w:themeFillTint="33"/>
          </w:tcPr>
          <w:p w14:paraId="5D9532EC" w14:textId="6AB7D77D" w:rsidR="008E1E90" w:rsidRPr="00D714C1" w:rsidRDefault="008E1E90" w:rsidP="00CE240B">
            <w:pPr>
              <w:spacing w:before="0" w:after="0"/>
              <w:jc w:val="left"/>
              <w:rPr>
                <w:lang w:val="es-CO"/>
              </w:rPr>
            </w:pPr>
            <w:r w:rsidRPr="00D714C1">
              <w:rPr>
                <w:lang w:val="es-CO" w:bidi="es-CO"/>
              </w:rPr>
              <w:t>Mensaje del Secretario General de las Naciones Unidas, Siria, Ucrania y otros países han difundido mensajes conjuntos de acción contra minas/COVID</w:t>
            </w:r>
          </w:p>
        </w:tc>
        <w:tc>
          <w:tcPr>
            <w:tcW w:w="3178" w:type="dxa"/>
            <w:shd w:val="clear" w:color="auto" w:fill="FFFFFF" w:themeFill="background1"/>
          </w:tcPr>
          <w:p w14:paraId="077ED2C3" w14:textId="269F4774" w:rsidR="008E1E90" w:rsidRPr="00D714C1" w:rsidRDefault="00A07D20" w:rsidP="00CE240B">
            <w:pPr>
              <w:spacing w:before="0" w:after="0"/>
              <w:jc w:val="left"/>
              <w:rPr>
                <w:lang w:val="es-CO"/>
              </w:rPr>
            </w:pPr>
            <w:r>
              <w:fldChar w:fldCharType="begin"/>
            </w:r>
            <w:r w:rsidRPr="00A07D20">
              <w:rPr>
                <w:lang w:val="es-ES"/>
              </w:rPr>
              <w:instrText xml:space="preserve"> HYPERLINK "https://trello</w:instrText>
            </w:r>
            <w:r w:rsidRPr="00A07D20">
              <w:rPr>
                <w:lang w:val="es-ES"/>
              </w:rPr>
              <w:instrText xml:space="preserve">.com/b/fphKhlxP/international-day-of-mine-awareness-and-assistance-in-mine-action-2020" </w:instrText>
            </w:r>
            <w:r>
              <w:fldChar w:fldCharType="separate"/>
            </w:r>
            <w:r w:rsidR="00D46F7C" w:rsidRPr="00D714C1">
              <w:rPr>
                <w:rStyle w:val="Hyperlink"/>
                <w:lang w:val="es-CO" w:bidi="es-CO"/>
              </w:rPr>
              <w:t>Paquete del UNMAS para el 4 de abril</w:t>
            </w:r>
            <w:r>
              <w:rPr>
                <w:rStyle w:val="Hyperlink"/>
                <w:lang w:val="es-CO" w:bidi="es-CO"/>
              </w:rPr>
              <w:fldChar w:fldCharType="end"/>
            </w:r>
          </w:p>
        </w:tc>
      </w:tr>
      <w:tr w:rsidR="008E1E90" w:rsidRPr="00A07D20" w14:paraId="7CDBFDCD" w14:textId="40B4A394" w:rsidTr="098937A5">
        <w:trPr>
          <w:cantSplit/>
        </w:trPr>
        <w:tc>
          <w:tcPr>
            <w:tcW w:w="2605" w:type="dxa"/>
            <w:shd w:val="clear" w:color="auto" w:fill="E1E9EF" w:themeFill="accent3" w:themeFillTint="33"/>
          </w:tcPr>
          <w:p w14:paraId="131B47DA" w14:textId="7CCCFF4A" w:rsidR="008E1E90" w:rsidRPr="00D714C1" w:rsidRDefault="008E1E90" w:rsidP="005C4CB8">
            <w:pPr>
              <w:pStyle w:val="Bold"/>
              <w:rPr>
                <w:lang w:val="es-CO"/>
              </w:rPr>
            </w:pPr>
            <w:r w:rsidRPr="00D714C1">
              <w:rPr>
                <w:lang w:val="es-CO" w:bidi="es-CO"/>
              </w:rPr>
              <w:t>¿Hay lecciones u orientaciones de los brotes anteriores como el ébola, MERS y SARS de los que podamos aprender?</w:t>
            </w:r>
          </w:p>
        </w:tc>
        <w:tc>
          <w:tcPr>
            <w:tcW w:w="6746" w:type="dxa"/>
          </w:tcPr>
          <w:p w14:paraId="25AA5867" w14:textId="77777777" w:rsidR="008E1E90" w:rsidRPr="00D714C1" w:rsidRDefault="008E1E90" w:rsidP="005C4CB8">
            <w:pPr>
              <w:pStyle w:val="BulletinTable"/>
              <w:rPr>
                <w:lang w:val="es-CO"/>
              </w:rPr>
            </w:pPr>
            <w:r w:rsidRPr="00D714C1">
              <w:rPr>
                <w:lang w:val="es-CO" w:bidi="es-CO"/>
              </w:rPr>
              <w:t>¿Lecciones aprendidas en los brotes del MERS y SARS?</w:t>
            </w:r>
          </w:p>
          <w:p w14:paraId="18A03044" w14:textId="727176ED" w:rsidR="008E1E90" w:rsidRPr="00D714C1" w:rsidRDefault="008E1E90" w:rsidP="005C4CB8">
            <w:pPr>
              <w:pStyle w:val="BulletinTable"/>
              <w:rPr>
                <w:lang w:val="es-CO"/>
              </w:rPr>
            </w:pPr>
            <w:r w:rsidRPr="00D714C1">
              <w:rPr>
                <w:lang w:val="es-CO" w:bidi="es-CO"/>
              </w:rPr>
              <w:t>¿Hay orientación respecto de la acción contra minas en los países afectados por el ébola que pueda inspirar la implementación y el monitoreo de actividades en esta situación de COVID-19?</w:t>
            </w:r>
          </w:p>
        </w:tc>
        <w:tc>
          <w:tcPr>
            <w:tcW w:w="8730" w:type="dxa"/>
            <w:shd w:val="clear" w:color="auto" w:fill="E1E9EF" w:themeFill="accent3" w:themeFillTint="33"/>
          </w:tcPr>
          <w:p w14:paraId="45E1A74D" w14:textId="27897C01" w:rsidR="008E1E90" w:rsidRPr="00D714C1" w:rsidRDefault="008E1E90" w:rsidP="00CE240B">
            <w:pPr>
              <w:spacing w:before="0" w:after="0"/>
              <w:jc w:val="left"/>
              <w:rPr>
                <w:lang w:val="es-CO"/>
              </w:rPr>
            </w:pPr>
            <w:r w:rsidRPr="00D714C1">
              <w:rPr>
                <w:lang w:val="es-CO" w:bidi="es-CO"/>
              </w:rPr>
              <w:t>Evitar provocar miedo de morir. Evitar crear pánico. Entender cómo se generan la desinformación y los mitos y abordarlos a tiempo. Ser amables unos con otros y evitar la estigmatización de quienes se vean afectados.</w:t>
            </w:r>
          </w:p>
        </w:tc>
        <w:tc>
          <w:tcPr>
            <w:tcW w:w="3178" w:type="dxa"/>
            <w:shd w:val="clear" w:color="auto" w:fill="FFFFFF" w:themeFill="background1"/>
          </w:tcPr>
          <w:p w14:paraId="32315345" w14:textId="77777777" w:rsidR="002E4A83" w:rsidRPr="00D714C1" w:rsidRDefault="00A07D20" w:rsidP="002E4A83">
            <w:pPr>
              <w:spacing w:before="0" w:after="0"/>
              <w:contextualSpacing/>
              <w:jc w:val="left"/>
              <w:rPr>
                <w:lang w:val="es-CO"/>
              </w:rPr>
            </w:pPr>
            <w:r>
              <w:fldChar w:fldCharType="begin"/>
            </w:r>
            <w:r w:rsidRPr="00A07D20">
              <w:rPr>
                <w:lang w:val="es-ES"/>
              </w:rPr>
              <w:instrText xml:space="preserve"> HYPERLINK "https://www.unicef.org/media/65931/file/Social%20st</w:instrText>
            </w:r>
            <w:r w:rsidRPr="00A07D20">
              <w:rPr>
                <w:lang w:val="es-ES"/>
              </w:rPr>
              <w:instrText xml:space="preserve">igma%20associated%20with%20the%20coronavirus%20disease%202019%20(COVID-19).pdf" </w:instrText>
            </w:r>
            <w:r>
              <w:fldChar w:fldCharType="separate"/>
            </w:r>
            <w:r w:rsidR="002E4A83" w:rsidRPr="00D714C1">
              <w:rPr>
                <w:color w:val="0563C1"/>
                <w:u w:val="single"/>
                <w:lang w:val="es-CO" w:bidi="es-CO"/>
              </w:rPr>
              <w:t>Guía para prevenir y abordar el estigma social asociado a la enfermedad por coronavirus (COVID-19)</w:t>
            </w:r>
            <w:r>
              <w:rPr>
                <w:color w:val="0563C1"/>
                <w:u w:val="single"/>
                <w:lang w:val="es-CO" w:bidi="es-CO"/>
              </w:rPr>
              <w:fldChar w:fldCharType="end"/>
            </w:r>
            <w:r w:rsidR="002E4A83" w:rsidRPr="00D714C1">
              <w:rPr>
                <w:lang w:val="es-CO" w:bidi="es-CO"/>
              </w:rPr>
              <w:t xml:space="preserve"> - FICR, UNICEF, OMS</w:t>
            </w:r>
          </w:p>
          <w:p w14:paraId="6CF42906" w14:textId="77777777" w:rsidR="008E1E90" w:rsidRPr="00D714C1" w:rsidRDefault="008E1E90" w:rsidP="00CE240B">
            <w:pPr>
              <w:spacing w:before="0" w:after="0"/>
              <w:jc w:val="left"/>
              <w:rPr>
                <w:lang w:val="es-CO"/>
              </w:rPr>
            </w:pPr>
          </w:p>
        </w:tc>
      </w:tr>
      <w:tr w:rsidR="008E1E90" w:rsidRPr="00A07D20" w14:paraId="45C58DE7" w14:textId="6FC8120B" w:rsidTr="098937A5">
        <w:trPr>
          <w:cantSplit/>
        </w:trPr>
        <w:tc>
          <w:tcPr>
            <w:tcW w:w="2605" w:type="dxa"/>
            <w:shd w:val="clear" w:color="auto" w:fill="E1E9EF" w:themeFill="accent3" w:themeFillTint="33"/>
          </w:tcPr>
          <w:p w14:paraId="31BCE6CE" w14:textId="46430B50" w:rsidR="008E1E90" w:rsidRPr="00D714C1" w:rsidRDefault="008E1E90" w:rsidP="005C4CB8">
            <w:pPr>
              <w:pStyle w:val="Bold"/>
              <w:rPr>
                <w:lang w:val="es-CO" w:eastAsia="en-GB"/>
              </w:rPr>
            </w:pPr>
            <w:r w:rsidRPr="00D714C1">
              <w:rPr>
                <w:lang w:val="es-CO" w:bidi="es-CO"/>
              </w:rPr>
              <w:t>¿Cuáles son las implicaciones de la crisis de la COVID-19 para el desplazamiento de las poblaciones y accidentes que involucran artefactos explosivos?</w:t>
            </w:r>
          </w:p>
        </w:tc>
        <w:tc>
          <w:tcPr>
            <w:tcW w:w="6746" w:type="dxa"/>
          </w:tcPr>
          <w:p w14:paraId="36EF49F9" w14:textId="77777777" w:rsidR="008E1E90" w:rsidRPr="00D714C1" w:rsidRDefault="008E1E90" w:rsidP="005C4CB8">
            <w:pPr>
              <w:pStyle w:val="BulletinTable"/>
              <w:numPr>
                <w:ilvl w:val="0"/>
                <w:numId w:val="0"/>
              </w:numPr>
              <w:rPr>
                <w:lang w:val="es-CO"/>
              </w:rPr>
            </w:pPr>
          </w:p>
        </w:tc>
        <w:tc>
          <w:tcPr>
            <w:tcW w:w="8730" w:type="dxa"/>
            <w:shd w:val="clear" w:color="auto" w:fill="E1E9EF" w:themeFill="accent3" w:themeFillTint="33"/>
          </w:tcPr>
          <w:p w14:paraId="6F8F1428" w14:textId="20F41C5C" w:rsidR="008E1E90" w:rsidRPr="00D714C1" w:rsidRDefault="5F9DEFDC" w:rsidP="781C17F4">
            <w:pPr>
              <w:spacing w:before="0" w:after="0"/>
              <w:jc w:val="left"/>
              <w:rPr>
                <w:lang w:val="es-CO"/>
              </w:rPr>
            </w:pPr>
            <w:r w:rsidRPr="00D714C1">
              <w:rPr>
                <w:lang w:val="es-CO" w:bidi="es-CO"/>
              </w:rPr>
              <w:t>No es probable que las personas en confinamiento y que aplican las regulaciones nacionales sufran accidentes con artefactos explosivos. Sin embargo, pese a los toques de queda y las regulaciones, algunas personas (incluidas las más vulnerables) siguen con libertad de movimiento y viven en las inmediaciones de áreas peligrosas, lo que puede provocar el aumento del número de accidentes.</w:t>
            </w:r>
          </w:p>
          <w:p w14:paraId="3A0A800C" w14:textId="77777777" w:rsidR="008E1E90" w:rsidRPr="00D714C1" w:rsidRDefault="008E1E90" w:rsidP="00C63A30">
            <w:pPr>
              <w:pStyle w:val="BulletinTable"/>
              <w:numPr>
                <w:ilvl w:val="0"/>
                <w:numId w:val="0"/>
              </w:numPr>
              <w:spacing w:before="0" w:after="0"/>
              <w:ind w:left="360"/>
              <w:rPr>
                <w:lang w:val="es-CO"/>
              </w:rPr>
            </w:pPr>
          </w:p>
          <w:p w14:paraId="2F0DF6E5" w14:textId="70132AD2" w:rsidR="008E1E90" w:rsidRPr="00D714C1" w:rsidRDefault="5F9DEFDC" w:rsidP="098937A5">
            <w:pPr>
              <w:pStyle w:val="BulletinTable"/>
              <w:numPr>
                <w:ilvl w:val="0"/>
                <w:numId w:val="0"/>
              </w:numPr>
              <w:spacing w:before="0" w:after="0"/>
              <w:rPr>
                <w:lang w:val="es-CO"/>
              </w:rPr>
            </w:pPr>
            <w:r w:rsidRPr="00D714C1">
              <w:rPr>
                <w:lang w:val="es-CO" w:bidi="es-CO"/>
              </w:rPr>
              <w:t>La COVID-19 está provocando desplazamientos migratorios masivos de personas que no pueden seguir trabajando y están regresando a sus áreas de residencia. Es posible que no estén familiarizados con la amenaza local de artefactos explosivos y tengan accidentes.</w:t>
            </w:r>
          </w:p>
        </w:tc>
        <w:tc>
          <w:tcPr>
            <w:tcW w:w="3178" w:type="dxa"/>
            <w:shd w:val="clear" w:color="auto" w:fill="FFFFFF" w:themeFill="background1"/>
          </w:tcPr>
          <w:p w14:paraId="6969319F" w14:textId="77777777" w:rsidR="008E1E90" w:rsidRPr="00D714C1" w:rsidRDefault="008E1E90" w:rsidP="00CE240B">
            <w:pPr>
              <w:spacing w:before="0" w:after="0"/>
              <w:jc w:val="left"/>
              <w:rPr>
                <w:lang w:val="es-CO"/>
              </w:rPr>
            </w:pPr>
          </w:p>
        </w:tc>
      </w:tr>
    </w:tbl>
    <w:p w14:paraId="30A93410" w14:textId="77777777" w:rsidR="005C4CB8" w:rsidRPr="00D714C1" w:rsidRDefault="005C4CB8" w:rsidP="005C4CB8">
      <w:pPr>
        <w:pStyle w:val="BulletLevel3"/>
        <w:numPr>
          <w:ilvl w:val="0"/>
          <w:numId w:val="0"/>
        </w:numPr>
        <w:rPr>
          <w:lang w:val="es-CO"/>
        </w:rPr>
      </w:pPr>
    </w:p>
    <w:p w14:paraId="1ABE4397" w14:textId="77777777" w:rsidR="005C4CB8" w:rsidRPr="00D714C1" w:rsidRDefault="005C4CB8" w:rsidP="005C4CB8">
      <w:pPr>
        <w:pStyle w:val="BulletLevel3"/>
        <w:numPr>
          <w:ilvl w:val="0"/>
          <w:numId w:val="0"/>
        </w:numPr>
        <w:rPr>
          <w:lang w:val="es-CO"/>
        </w:rPr>
        <w:sectPr w:rsidR="005C4CB8" w:rsidRPr="00D714C1" w:rsidSect="00E14FB1">
          <w:headerReference w:type="first" r:id="rId18"/>
          <w:pgSz w:w="23811" w:h="16838" w:orient="landscape" w:code="8"/>
          <w:pgMar w:top="720" w:right="1253" w:bottom="720" w:left="1253" w:header="397" w:footer="851" w:gutter="0"/>
          <w:cols w:space="708"/>
          <w:docGrid w:linePitch="360"/>
        </w:sectPr>
      </w:pPr>
    </w:p>
    <w:p w14:paraId="0DD0BEBB" w14:textId="6BFB949F" w:rsidR="00CB7F10" w:rsidRPr="00D714C1" w:rsidRDefault="00CB7F10" w:rsidP="00437035">
      <w:pPr>
        <w:pStyle w:val="Heading1"/>
        <w:rPr>
          <w:lang w:val="es-CO"/>
        </w:rPr>
      </w:pPr>
      <w:bookmarkStart w:id="7" w:name="_Toc44425359"/>
      <w:r w:rsidRPr="00D714C1">
        <w:rPr>
          <w:lang w:val="es-CO" w:bidi="es-CO"/>
        </w:rPr>
        <w:lastRenderedPageBreak/>
        <w:t>¿Cómo se han visto afectadas las organizaciones y cómo responden a las actuales circunstancias de la COVID-19 (al 1 de abril)?</w:t>
      </w:r>
      <w:bookmarkEnd w:id="7"/>
    </w:p>
    <w:p w14:paraId="67CA9B87" w14:textId="601CB4A0" w:rsidR="00DB22B3" w:rsidRPr="00D714C1" w:rsidRDefault="00DB22B3" w:rsidP="00DB22B3">
      <w:pPr>
        <w:tabs>
          <w:tab w:val="left" w:pos="5625"/>
        </w:tabs>
        <w:rPr>
          <w:lang w:val="es-CO"/>
        </w:rPr>
      </w:pPr>
    </w:p>
    <w:p w14:paraId="5DE0859F" w14:textId="1F5B608E" w:rsidR="00437035" w:rsidRPr="00D714C1" w:rsidRDefault="00CB7F10" w:rsidP="00437035">
      <w:pPr>
        <w:tabs>
          <w:tab w:val="left" w:pos="5625"/>
        </w:tabs>
        <w:jc w:val="center"/>
        <w:rPr>
          <w:lang w:val="es-CO"/>
        </w:rPr>
      </w:pPr>
      <w:r w:rsidRPr="00D714C1">
        <w:rPr>
          <w:noProof/>
          <w:lang w:val="es-CO" w:bidi="es-CO"/>
        </w:rPr>
        <w:drawing>
          <wp:inline distT="0" distB="0" distL="0" distR="0" wp14:anchorId="209E7702" wp14:editId="7A483B46">
            <wp:extent cx="4181475" cy="4829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4130" b="21091"/>
                    <a:stretch/>
                  </pic:blipFill>
                  <pic:spPr bwMode="auto">
                    <a:xfrm>
                      <a:off x="0" y="0"/>
                      <a:ext cx="4181475" cy="4829175"/>
                    </a:xfrm>
                    <a:prstGeom prst="rect">
                      <a:avLst/>
                    </a:prstGeom>
                    <a:ln>
                      <a:noFill/>
                    </a:ln>
                    <a:extLst>
                      <a:ext uri="{53640926-AAD7-44D8-BBD7-CCE9431645EC}">
                        <a14:shadowObscured xmlns:a14="http://schemas.microsoft.com/office/drawing/2010/main"/>
                      </a:ext>
                    </a:extLst>
                  </pic:spPr>
                </pic:pic>
              </a:graphicData>
            </a:graphic>
          </wp:inline>
        </w:drawing>
      </w:r>
    </w:p>
    <w:p w14:paraId="18EADE5A" w14:textId="6CE14976" w:rsidR="00437035" w:rsidRPr="00D714C1" w:rsidRDefault="00437035" w:rsidP="00437035">
      <w:pPr>
        <w:pStyle w:val="BulletLevel1"/>
        <w:rPr>
          <w:b/>
          <w:bCs/>
          <w:lang w:val="es-CO"/>
        </w:rPr>
      </w:pPr>
      <w:r w:rsidRPr="00D714C1">
        <w:rPr>
          <w:b/>
          <w:lang w:val="es-CO" w:bidi="es-CO"/>
        </w:rPr>
        <w:t xml:space="preserve">Se han suspendido todas las actividades de </w:t>
      </w:r>
      <w:r w:rsidR="00B316FF">
        <w:rPr>
          <w:b/>
          <w:lang w:val="es-CO" w:bidi="es-CO"/>
        </w:rPr>
        <w:t>educación en el riesgo de artefactos explosivos</w:t>
      </w:r>
    </w:p>
    <w:p w14:paraId="3A286628" w14:textId="0C530782" w:rsidR="00437035" w:rsidRPr="00D714C1" w:rsidRDefault="003A01AA" w:rsidP="00437035">
      <w:pPr>
        <w:pStyle w:val="BulletLevel3"/>
        <w:rPr>
          <w:lang w:val="es-CO"/>
        </w:rPr>
      </w:pPr>
      <w:r w:rsidRPr="00D714C1">
        <w:rPr>
          <w:lang w:val="es-CO" w:bidi="es-CO"/>
        </w:rPr>
        <w:t xml:space="preserve">“Quisiera informarles que en la región de Kurdistán iraquí están suspendidas todas las actividades de acción contra minas y el Ministerio de Salud asumió la responsabilidad de publicar instrucciones de salud y protección respecto de la COVID-19 en los canales de los medios y afortunadamente la mayoría de la gente las está aplicando. </w:t>
      </w:r>
      <w:proofErr w:type="spellStart"/>
      <w:r w:rsidRPr="00D714C1">
        <w:rPr>
          <w:lang w:val="es-CO" w:bidi="es-CO"/>
        </w:rPr>
        <w:t>Ako</w:t>
      </w:r>
      <w:proofErr w:type="spellEnd"/>
      <w:r w:rsidRPr="00D714C1">
        <w:rPr>
          <w:lang w:val="es-CO" w:bidi="es-CO"/>
        </w:rPr>
        <w:t xml:space="preserve"> </w:t>
      </w:r>
      <w:proofErr w:type="spellStart"/>
      <w:r w:rsidRPr="00D714C1">
        <w:rPr>
          <w:lang w:val="es-CO" w:bidi="es-CO"/>
        </w:rPr>
        <w:t>Aziz</w:t>
      </w:r>
      <w:proofErr w:type="spellEnd"/>
      <w:r w:rsidRPr="00D714C1">
        <w:rPr>
          <w:lang w:val="es-CO" w:bidi="es-CO"/>
        </w:rPr>
        <w:t>”.</w:t>
      </w:r>
    </w:p>
    <w:p w14:paraId="2941D88E" w14:textId="5281477C" w:rsidR="00437035" w:rsidRPr="00D714C1" w:rsidRDefault="003A01AA" w:rsidP="00437035">
      <w:pPr>
        <w:pStyle w:val="BulletLevel3"/>
        <w:rPr>
          <w:lang w:val="es-CO"/>
        </w:rPr>
      </w:pPr>
      <w:r w:rsidRPr="00D714C1">
        <w:rPr>
          <w:lang w:val="es-CO" w:bidi="es-CO"/>
        </w:rPr>
        <w:t xml:space="preserve">“Debemos organizar la educación de riesgos de minas en La India para las escuelas y personas ubicadas en las áreas fronterizas de La India y Pakistán, pero por la COVID-19 fue algo que pospusimos y que organizaremos en el momento apropiado. Coordinador </w:t>
      </w:r>
      <w:proofErr w:type="spellStart"/>
      <w:r w:rsidRPr="00D714C1">
        <w:rPr>
          <w:lang w:val="es-CO" w:bidi="es-CO"/>
        </w:rPr>
        <w:t>Balkrishna</w:t>
      </w:r>
      <w:proofErr w:type="spellEnd"/>
      <w:r w:rsidRPr="00D714C1">
        <w:rPr>
          <w:lang w:val="es-CO" w:bidi="es-CO"/>
        </w:rPr>
        <w:t xml:space="preserve"> </w:t>
      </w:r>
      <w:proofErr w:type="spellStart"/>
      <w:r w:rsidRPr="00D714C1">
        <w:rPr>
          <w:lang w:val="es-CO" w:bidi="es-CO"/>
        </w:rPr>
        <w:t>Kurvey</w:t>
      </w:r>
      <w:proofErr w:type="spellEnd"/>
      <w:r w:rsidRPr="00D714C1">
        <w:rPr>
          <w:lang w:val="es-CO" w:bidi="es-CO"/>
        </w:rPr>
        <w:t>, campaña india de prohibición de minas terrestres y municiones en racimo”.</w:t>
      </w:r>
    </w:p>
    <w:p w14:paraId="700E2D4F" w14:textId="055DA8C0" w:rsidR="00437035" w:rsidRPr="00D714C1" w:rsidRDefault="003A01AA" w:rsidP="00437035">
      <w:pPr>
        <w:pStyle w:val="BulletLevel3"/>
        <w:rPr>
          <w:lang w:val="es-CO"/>
        </w:rPr>
      </w:pPr>
      <w:r w:rsidRPr="00D714C1">
        <w:rPr>
          <w:lang w:val="es-CO" w:bidi="es-CO"/>
        </w:rPr>
        <w:t xml:space="preserve">“Las actividades de educación de riesgos fueron suspendidas en Turquía, por la instrucción del gobierno turco de suspender todas las actividades grupales (DRC/DDG </w:t>
      </w:r>
      <w:r w:rsidRPr="00D714C1">
        <w:rPr>
          <w:lang w:val="es-CO" w:bidi="es-CO"/>
        </w:rPr>
        <w:lastRenderedPageBreak/>
        <w:t>Turquía). Asimismo, Turquía cerró la frontera con Siria, por lo que en estos momentos no hay retornados hacia Siria”.</w:t>
      </w:r>
    </w:p>
    <w:p w14:paraId="0810B823" w14:textId="48279D2F" w:rsidR="00437035" w:rsidRPr="00D714C1" w:rsidRDefault="003A01AA" w:rsidP="00437035">
      <w:pPr>
        <w:pStyle w:val="BulletLevel3"/>
        <w:rPr>
          <w:u w:val="single"/>
          <w:lang w:val="es-CO"/>
        </w:rPr>
      </w:pPr>
      <w:r w:rsidRPr="00D714C1">
        <w:rPr>
          <w:lang w:val="es-CO" w:bidi="es-CO"/>
        </w:rPr>
        <w:t xml:space="preserve">“En </w:t>
      </w:r>
      <w:r w:rsidR="00D714C1">
        <w:rPr>
          <w:lang w:val="es-CO" w:bidi="es-CO"/>
        </w:rPr>
        <w:t xml:space="preserve">el </w:t>
      </w:r>
      <w:r w:rsidRPr="00D714C1">
        <w:rPr>
          <w:lang w:val="es-CO" w:bidi="es-CO"/>
        </w:rPr>
        <w:t xml:space="preserve">Líbano, antes de que el gobierno impusiera el confinamiento nacional, el Centro de Acción Contra Minas del Líbano (LMAC, por sus siglas en inglés) suspendió todas las actividades humanitarias de acción contra minas, incluida la </w:t>
      </w:r>
      <w:r w:rsidR="00B316FF">
        <w:rPr>
          <w:lang w:val="es-CO" w:bidi="es-CO"/>
        </w:rPr>
        <w:t>educación en el riesgo de artefactos explosivos</w:t>
      </w:r>
      <w:r w:rsidRPr="00D714C1">
        <w:rPr>
          <w:lang w:val="es-CO" w:bidi="es-CO"/>
        </w:rPr>
        <w:t xml:space="preserve">. Los refugiados sirios no tienen permitido desplazarse en grandes grupos. </w:t>
      </w:r>
      <w:r w:rsidRPr="00D714C1">
        <w:rPr>
          <w:u w:val="single"/>
          <w:lang w:val="es-CO" w:bidi="es-CO"/>
        </w:rPr>
        <w:t>Hay un enfoque creciente en cómo involucrarse en CRPC. Sin embargo, se cuestionan los desplazamientos de las ONG”.</w:t>
      </w:r>
    </w:p>
    <w:p w14:paraId="392CDBA2" w14:textId="6C3CB316" w:rsidR="00437035" w:rsidRPr="00D714C1" w:rsidRDefault="003A01AA" w:rsidP="00437035">
      <w:pPr>
        <w:pStyle w:val="BulletLevel3"/>
        <w:rPr>
          <w:lang w:val="es-CO"/>
        </w:rPr>
      </w:pPr>
      <w:r w:rsidRPr="00D714C1">
        <w:rPr>
          <w:lang w:val="es-CO" w:bidi="es-CO"/>
        </w:rPr>
        <w:t xml:space="preserve">“Hemos suspendido todas nuestras actividades de </w:t>
      </w:r>
      <w:r w:rsidR="00B316FF">
        <w:rPr>
          <w:lang w:val="es-CO" w:bidi="es-CO"/>
        </w:rPr>
        <w:t>educación en el riesgo de artefactos explosivos</w:t>
      </w:r>
      <w:r w:rsidRPr="00D714C1">
        <w:rPr>
          <w:lang w:val="es-CO" w:bidi="es-CO"/>
        </w:rPr>
        <w:t xml:space="preserve"> en Abyei por el distanciamiento social, mientras que todas las demás actividades de eliminación siguen su curso. Cada vez hay más reportes en Sudán que atacan a las Naciones Unidas y a la gente de las ONG que conducen distintas actividades, con la convicción de que son ellos quienes les llevan la COVID-19”.</w:t>
      </w:r>
    </w:p>
    <w:p w14:paraId="713FA89E" w14:textId="30D2FC79" w:rsidR="00437035" w:rsidRPr="00D714C1" w:rsidRDefault="00437035" w:rsidP="00437035">
      <w:pPr>
        <w:pStyle w:val="BulletLevel1"/>
        <w:rPr>
          <w:b/>
          <w:bCs/>
          <w:lang w:val="es-CO"/>
        </w:rPr>
      </w:pPr>
      <w:r w:rsidRPr="00D714C1">
        <w:rPr>
          <w:b/>
          <w:lang w:val="es-CO" w:bidi="es-CO"/>
        </w:rPr>
        <w:t xml:space="preserve">Se suspendieron todas las actividades en persona de </w:t>
      </w:r>
      <w:r w:rsidR="00B316FF">
        <w:rPr>
          <w:b/>
          <w:lang w:val="es-CO" w:bidi="es-CO"/>
        </w:rPr>
        <w:t>educación en el riesgo de artefactos explosivos</w:t>
      </w:r>
      <w:r w:rsidRPr="00D714C1">
        <w:rPr>
          <w:b/>
          <w:lang w:val="es-CO" w:bidi="es-CO"/>
        </w:rPr>
        <w:t>, pero seguimos impartiéndola a distancia (o empezamos a impartirla a distancia)</w:t>
      </w:r>
    </w:p>
    <w:p w14:paraId="3BFF7DC2" w14:textId="2812A072" w:rsidR="00437035" w:rsidRPr="00D714C1" w:rsidRDefault="003A01AA" w:rsidP="00437035">
      <w:pPr>
        <w:pStyle w:val="BulletLevel3"/>
        <w:rPr>
          <w:u w:val="single"/>
          <w:lang w:val="es-CO"/>
        </w:rPr>
      </w:pPr>
      <w:r w:rsidRPr="00D714C1">
        <w:rPr>
          <w:lang w:val="es-CO" w:bidi="es-CO"/>
        </w:rPr>
        <w:t xml:space="preserve">“Hola a todos, soy </w:t>
      </w:r>
      <w:proofErr w:type="spellStart"/>
      <w:r w:rsidRPr="00D714C1">
        <w:rPr>
          <w:lang w:val="es-CO" w:bidi="es-CO"/>
        </w:rPr>
        <w:t>Zareen</w:t>
      </w:r>
      <w:proofErr w:type="spellEnd"/>
      <w:r w:rsidRPr="00D714C1">
        <w:rPr>
          <w:lang w:val="es-CO" w:bidi="es-CO"/>
        </w:rPr>
        <w:t xml:space="preserve"> Khan Mayar AVR TA de HI </w:t>
      </w:r>
      <w:proofErr w:type="spellStart"/>
      <w:r w:rsidRPr="00D714C1">
        <w:rPr>
          <w:lang w:val="es-CO" w:bidi="es-CO"/>
        </w:rPr>
        <w:t>Program</w:t>
      </w:r>
      <w:proofErr w:type="spellEnd"/>
      <w:r w:rsidRPr="00D714C1">
        <w:rPr>
          <w:lang w:val="es-CO" w:bidi="es-CO"/>
        </w:rPr>
        <w:t xml:space="preserve"> </w:t>
      </w:r>
      <w:proofErr w:type="spellStart"/>
      <w:r w:rsidRPr="00D714C1">
        <w:rPr>
          <w:lang w:val="es-CO" w:bidi="es-CO"/>
        </w:rPr>
        <w:t>Afghanistan</w:t>
      </w:r>
      <w:proofErr w:type="spellEnd"/>
      <w:r w:rsidRPr="00D714C1">
        <w:rPr>
          <w:lang w:val="es-CO" w:bidi="es-CO"/>
        </w:rPr>
        <w:t xml:space="preserve">. Estamos planeando las actividades remotas o digitales de </w:t>
      </w:r>
      <w:r w:rsidR="00B316FF">
        <w:rPr>
          <w:lang w:val="es-CO" w:bidi="es-CO"/>
        </w:rPr>
        <w:t>educación en el riesgo de artefactos explosivos</w:t>
      </w:r>
      <w:r w:rsidRPr="00D714C1">
        <w:rPr>
          <w:lang w:val="es-CO" w:bidi="es-CO"/>
        </w:rPr>
        <w:t xml:space="preserve">, TV, radio, anuncios y afiches y estamos replanteando las actividades </w:t>
      </w:r>
      <w:r w:rsidRPr="00D714C1">
        <w:rPr>
          <w:u w:val="single"/>
          <w:lang w:val="es-CO" w:bidi="es-CO"/>
        </w:rPr>
        <w:t>y, además, incorporando la concienciación de la COVID-19 en nuestras comunidades objetivo</w:t>
      </w:r>
      <w:r w:rsidRPr="00D714C1">
        <w:rPr>
          <w:lang w:val="es-CO" w:bidi="es-CO"/>
        </w:rPr>
        <w:t xml:space="preserve">”. </w:t>
      </w:r>
    </w:p>
    <w:p w14:paraId="23AD240E" w14:textId="2E9320DE" w:rsidR="00437035" w:rsidRPr="00D714C1" w:rsidRDefault="003A01AA" w:rsidP="00437035">
      <w:pPr>
        <w:pStyle w:val="BulletLevel3"/>
        <w:rPr>
          <w:lang w:val="es-CO"/>
        </w:rPr>
      </w:pPr>
      <w:r w:rsidRPr="00D714C1">
        <w:rPr>
          <w:lang w:val="es-CO" w:bidi="es-CO"/>
        </w:rPr>
        <w:t>“Hola a todos, soy Zakaria de HAMAP-</w:t>
      </w:r>
      <w:proofErr w:type="spellStart"/>
      <w:r w:rsidRPr="00D714C1">
        <w:rPr>
          <w:lang w:val="es-CO" w:bidi="es-CO"/>
        </w:rPr>
        <w:t>Humanitaire</w:t>
      </w:r>
      <w:proofErr w:type="spellEnd"/>
      <w:r w:rsidRPr="00D714C1">
        <w:rPr>
          <w:lang w:val="es-CO" w:bidi="es-CO"/>
        </w:rPr>
        <w:t xml:space="preserve">, Irak. Suspendimos todas las actividades de </w:t>
      </w:r>
      <w:r w:rsidR="00B316FF">
        <w:rPr>
          <w:lang w:val="es-CO" w:bidi="es-CO"/>
        </w:rPr>
        <w:t>educación en el riesgo de artefactos explosivos</w:t>
      </w:r>
      <w:r w:rsidRPr="00D714C1">
        <w:rPr>
          <w:lang w:val="es-CO" w:bidi="es-CO"/>
        </w:rPr>
        <w:t xml:space="preserve"> en el Medio Oriente. Estamos trabajando con nuestros socios para encontrar maneras innovadoras de impartir la </w:t>
      </w:r>
      <w:r w:rsidR="00B316FF">
        <w:rPr>
          <w:lang w:val="es-CO" w:bidi="es-CO"/>
        </w:rPr>
        <w:t>educación en el riesgo de artefactos explosivos</w:t>
      </w:r>
      <w:r w:rsidRPr="00D714C1">
        <w:rPr>
          <w:lang w:val="es-CO" w:bidi="es-CO"/>
        </w:rPr>
        <w:t>, particularmente a través de las redes sociales”.</w:t>
      </w:r>
    </w:p>
    <w:p w14:paraId="078CE5A6" w14:textId="5B149E28" w:rsidR="004E52E7" w:rsidRPr="00D714C1" w:rsidRDefault="00757849" w:rsidP="004E52E7">
      <w:pPr>
        <w:pStyle w:val="BulletLevel3"/>
        <w:rPr>
          <w:u w:val="single"/>
          <w:lang w:val="es-CO"/>
        </w:rPr>
      </w:pPr>
      <w:r w:rsidRPr="00D714C1">
        <w:rPr>
          <w:lang w:val="es-CO" w:bidi="es-CO"/>
        </w:rPr>
        <w:t xml:space="preserve">“En Libia, nosotros en UNICEF y el socio local 3F estamos explorando modalidades alternativas para mantener las actividades de </w:t>
      </w:r>
      <w:r w:rsidR="00B316FF">
        <w:rPr>
          <w:lang w:val="es-CO" w:bidi="es-CO"/>
        </w:rPr>
        <w:t>educación en el riesgo de artefactos explosivos</w:t>
      </w:r>
      <w:r w:rsidRPr="00D714C1">
        <w:rPr>
          <w:lang w:val="es-CO" w:bidi="es-CO"/>
        </w:rPr>
        <w:t xml:space="preserve"> durante la coyuntura de la COVID-19. Aunque continuamos con la </w:t>
      </w:r>
      <w:r w:rsidR="00B316FF">
        <w:rPr>
          <w:lang w:val="es-CO" w:bidi="es-CO"/>
        </w:rPr>
        <w:t>educación en el riesgo de artefactos explosivos</w:t>
      </w:r>
      <w:r w:rsidRPr="00D714C1">
        <w:rPr>
          <w:lang w:val="es-CO" w:bidi="es-CO"/>
        </w:rPr>
        <w:t xml:space="preserve"> en algunas radios y otros medios y redes sociales, estamos discutiendo con la autoridad nacional las sesiones a distancia (sesiones y capacitaciones en línea; se usan sesiones de video y audio para los medios y redes sociales en plataformas seleccionadas), </w:t>
      </w:r>
      <w:r w:rsidRPr="00D714C1">
        <w:rPr>
          <w:u w:val="single"/>
          <w:lang w:val="es-CO" w:bidi="es-CO"/>
        </w:rPr>
        <w:t xml:space="preserve">así como la posible cooperación con el Ministerio de Educación para incluir mensajes clave de </w:t>
      </w:r>
      <w:r w:rsidR="00B316FF">
        <w:rPr>
          <w:u w:val="single"/>
          <w:lang w:val="es-CO" w:bidi="es-CO"/>
        </w:rPr>
        <w:t>educación en el riesgo de artefactos explosivos</w:t>
      </w:r>
      <w:r w:rsidRPr="00D714C1">
        <w:rPr>
          <w:u w:val="single"/>
          <w:lang w:val="es-CO" w:bidi="es-CO"/>
        </w:rPr>
        <w:t xml:space="preserve"> en las lecciones escolares televisadas del Ministerio de Educación (en curso en Libia y entre lecciones</w:t>
      </w:r>
      <w:r w:rsidRPr="00D714C1">
        <w:rPr>
          <w:lang w:val="es-CO" w:bidi="es-CO"/>
        </w:rPr>
        <w:t>”.</w:t>
      </w:r>
      <w:r w:rsidRPr="00D714C1">
        <w:rPr>
          <w:u w:val="single"/>
          <w:lang w:val="es-CO" w:bidi="es-CO"/>
        </w:rPr>
        <w:t xml:space="preserve"> </w:t>
      </w:r>
    </w:p>
    <w:p w14:paraId="1F60B31E" w14:textId="5E1B2EAD" w:rsidR="00437035" w:rsidRPr="00D714C1" w:rsidRDefault="00437035" w:rsidP="00437035">
      <w:pPr>
        <w:pStyle w:val="BulletLevel1"/>
        <w:rPr>
          <w:b/>
          <w:bCs/>
          <w:lang w:val="es-CO"/>
        </w:rPr>
      </w:pPr>
      <w:r w:rsidRPr="00D714C1">
        <w:rPr>
          <w:b/>
          <w:lang w:val="es-CO" w:bidi="es-CO"/>
        </w:rPr>
        <w:t xml:space="preserve">No se han suspendido las actividades de </w:t>
      </w:r>
      <w:r w:rsidR="00B316FF">
        <w:rPr>
          <w:b/>
          <w:lang w:val="es-CO" w:bidi="es-CO"/>
        </w:rPr>
        <w:t>educación en el riesgo de artefactos explosivos</w:t>
      </w:r>
      <w:r w:rsidRPr="00D714C1">
        <w:rPr>
          <w:b/>
          <w:lang w:val="es-CO" w:bidi="es-CO"/>
        </w:rPr>
        <w:t>, pero se han introducido medidas preventivas de salud (p. ej., distanciamiento físico)</w:t>
      </w:r>
    </w:p>
    <w:p w14:paraId="1CFEB925" w14:textId="04BC8643" w:rsidR="00437035" w:rsidRPr="00D714C1" w:rsidRDefault="00437035" w:rsidP="00437035">
      <w:pPr>
        <w:pStyle w:val="BulletLevel1"/>
        <w:rPr>
          <w:b/>
          <w:bCs/>
          <w:lang w:val="es-CO"/>
        </w:rPr>
      </w:pPr>
      <w:r w:rsidRPr="00D714C1">
        <w:rPr>
          <w:b/>
          <w:lang w:val="es-CO" w:bidi="es-CO"/>
        </w:rPr>
        <w:t xml:space="preserve">Ya empezamos a integrar los mensajes de </w:t>
      </w:r>
      <w:r w:rsidR="00B316FF">
        <w:rPr>
          <w:b/>
          <w:lang w:val="es-CO" w:bidi="es-CO"/>
        </w:rPr>
        <w:t>educación en el riesgo de artefactos explosivos</w:t>
      </w:r>
      <w:r w:rsidRPr="00D714C1">
        <w:rPr>
          <w:b/>
          <w:lang w:val="es-CO" w:bidi="es-CO"/>
        </w:rPr>
        <w:t xml:space="preserve"> y COVID-19 [ver también las partes subrayadas de la respuesta anterior]</w:t>
      </w:r>
    </w:p>
    <w:p w14:paraId="2AB8F2E1" w14:textId="6CCA7FE5" w:rsidR="00437035" w:rsidRPr="00D714C1" w:rsidRDefault="008F2A2A" w:rsidP="00437035">
      <w:pPr>
        <w:pStyle w:val="BulletLevel3"/>
        <w:rPr>
          <w:lang w:val="es-CO"/>
        </w:rPr>
      </w:pPr>
      <w:r w:rsidRPr="00D714C1">
        <w:rPr>
          <w:lang w:val="es-CO" w:bidi="es-CO"/>
        </w:rPr>
        <w:t xml:space="preserve">“Hola a todos, soy </w:t>
      </w:r>
      <w:proofErr w:type="spellStart"/>
      <w:r w:rsidRPr="00D714C1">
        <w:rPr>
          <w:lang w:val="es-CO" w:bidi="es-CO"/>
        </w:rPr>
        <w:t>Taban</w:t>
      </w:r>
      <w:proofErr w:type="spellEnd"/>
      <w:r w:rsidRPr="00D714C1">
        <w:rPr>
          <w:lang w:val="es-CO" w:bidi="es-CO"/>
        </w:rPr>
        <w:t xml:space="preserve"> Augustine Joseph de </w:t>
      </w:r>
      <w:proofErr w:type="spellStart"/>
      <w:r w:rsidRPr="00D714C1">
        <w:rPr>
          <w:lang w:val="es-CO" w:bidi="es-CO"/>
        </w:rPr>
        <w:t>Save</w:t>
      </w:r>
      <w:proofErr w:type="spellEnd"/>
      <w:r w:rsidRPr="00D714C1">
        <w:rPr>
          <w:lang w:val="es-CO" w:bidi="es-CO"/>
        </w:rPr>
        <w:t xml:space="preserve"> </w:t>
      </w:r>
      <w:proofErr w:type="spellStart"/>
      <w:r w:rsidRPr="00D714C1">
        <w:rPr>
          <w:lang w:val="es-CO" w:bidi="es-CO"/>
        </w:rPr>
        <w:t>Lives</w:t>
      </w:r>
      <w:proofErr w:type="spellEnd"/>
      <w:r w:rsidRPr="00D714C1">
        <w:rPr>
          <w:lang w:val="es-CO" w:bidi="es-CO"/>
        </w:rPr>
        <w:t xml:space="preserve"> </w:t>
      </w:r>
      <w:proofErr w:type="spellStart"/>
      <w:r w:rsidRPr="00D714C1">
        <w:rPr>
          <w:lang w:val="es-CO" w:bidi="es-CO"/>
        </w:rPr>
        <w:t>Initiative</w:t>
      </w:r>
      <w:proofErr w:type="spellEnd"/>
      <w:r w:rsidRPr="00D714C1">
        <w:rPr>
          <w:lang w:val="es-CO" w:bidi="es-CO"/>
        </w:rPr>
        <w:t xml:space="preserve"> South Sudan. Empezamos recientemente con la estrategia para integrar los mensajes de </w:t>
      </w:r>
      <w:r w:rsidR="00B316FF">
        <w:rPr>
          <w:lang w:val="es-CO" w:bidi="es-CO"/>
        </w:rPr>
        <w:t>educación en el riesgo de artefactos explosivos</w:t>
      </w:r>
      <w:r w:rsidRPr="00D714C1">
        <w:rPr>
          <w:lang w:val="es-CO" w:bidi="es-CO"/>
        </w:rPr>
        <w:t xml:space="preserve"> y COVID-19; actualmente Sudán del Sur no ha registrado casos de COVID-19, pero el gobierno nacional y los socios humanitarios se </w:t>
      </w:r>
      <w:r w:rsidRPr="00D714C1">
        <w:rPr>
          <w:lang w:val="es-CO" w:bidi="es-CO"/>
        </w:rPr>
        <w:lastRenderedPageBreak/>
        <w:t xml:space="preserve">han preparado lo suficiente para contener y responder a la COVID-19; una de las actividades clave para las que estamos preparados es crear conciencia en relación con nuestras actividades actuales de </w:t>
      </w:r>
      <w:r w:rsidR="00B316FF">
        <w:rPr>
          <w:lang w:val="es-CO" w:bidi="es-CO"/>
        </w:rPr>
        <w:t>educación en el riesgo de artefactos explosivos</w:t>
      </w:r>
      <w:r w:rsidRPr="00D714C1">
        <w:rPr>
          <w:lang w:val="es-CO" w:bidi="es-CO"/>
        </w:rPr>
        <w:t>”.</w:t>
      </w:r>
    </w:p>
    <w:p w14:paraId="4CD39059" w14:textId="48795578" w:rsidR="004E52E7" w:rsidRPr="00D714C1" w:rsidRDefault="00994912" w:rsidP="004E52E7">
      <w:pPr>
        <w:pStyle w:val="BulletLevel3"/>
        <w:rPr>
          <w:lang w:val="es-CO"/>
        </w:rPr>
      </w:pPr>
      <w:r w:rsidRPr="00D714C1">
        <w:rPr>
          <w:lang w:val="es-CO" w:bidi="es-CO"/>
        </w:rPr>
        <w:t>“Como las actividades de eliminación están suspendidas, hemos venido usando a los médicos para que ayuden a los equipos a abordar las preguntas, ya que estamos agregando algunos mensajes sobre COVID en las sesiones de educación de riesgos. Lo hacemos puerta a puerta, con grupos reducidos, sin niños ni adultos mayores, y usamos EPP [nota de los organizadores: La guía/política global y nacional resuelve los asuntos relativos a los EPP]. También hemos venido colaborando con los equipos de Agua, Saneamiento e Higiene, que están acostumbrados a promocionar la higiene, por lo que armonizan los mensajes”.</w:t>
      </w:r>
    </w:p>
    <w:p w14:paraId="345851E9" w14:textId="77777777" w:rsidR="004E52E7" w:rsidRPr="00D714C1" w:rsidRDefault="00437035" w:rsidP="00437035">
      <w:pPr>
        <w:pStyle w:val="BulletLevel1"/>
        <w:rPr>
          <w:b/>
          <w:bCs/>
          <w:lang w:val="es-CO"/>
        </w:rPr>
      </w:pPr>
      <w:r w:rsidRPr="00D714C1">
        <w:rPr>
          <w:b/>
          <w:lang w:val="es-CO" w:bidi="es-CO"/>
        </w:rPr>
        <w:t>No hemos cambiado nada en nuestra programación</w:t>
      </w:r>
    </w:p>
    <w:p w14:paraId="25A642CA" w14:textId="79BACE3C" w:rsidR="00437035" w:rsidRPr="00D714C1" w:rsidRDefault="004E52E7" w:rsidP="004E52E7">
      <w:pPr>
        <w:pStyle w:val="BulletLevel3"/>
        <w:rPr>
          <w:lang w:val="es-CO"/>
        </w:rPr>
      </w:pPr>
      <w:r w:rsidRPr="00D714C1">
        <w:rPr>
          <w:lang w:val="es-CO" w:bidi="es-CO"/>
        </w:rPr>
        <w:t>[No se compartieron actualizaciones por escrito en esta categoría]</w:t>
      </w:r>
    </w:p>
    <w:p w14:paraId="3DDC7A04" w14:textId="7E532AE8" w:rsidR="00437035" w:rsidRPr="00D714C1" w:rsidRDefault="00437035" w:rsidP="00437035">
      <w:pPr>
        <w:pStyle w:val="BulletLevel1"/>
        <w:rPr>
          <w:b/>
          <w:bCs/>
          <w:lang w:val="es-CO"/>
        </w:rPr>
      </w:pPr>
      <w:r w:rsidRPr="00D714C1">
        <w:rPr>
          <w:b/>
          <w:lang w:val="es-CO" w:bidi="es-CO"/>
        </w:rPr>
        <w:t>Otros</w:t>
      </w:r>
    </w:p>
    <w:p w14:paraId="0012FB73" w14:textId="45B642C6" w:rsidR="00437035" w:rsidRPr="00D714C1" w:rsidRDefault="00994912" w:rsidP="00437035">
      <w:pPr>
        <w:pStyle w:val="BulletLevel3"/>
        <w:rPr>
          <w:lang w:val="es-CO"/>
        </w:rPr>
      </w:pPr>
      <w:r w:rsidRPr="00D714C1">
        <w:rPr>
          <w:lang w:val="es-CO" w:bidi="es-CO"/>
        </w:rPr>
        <w:t xml:space="preserve">“Estamos como en el medio. Suspendimos todas las sesiones comunitarias de </w:t>
      </w:r>
      <w:r w:rsidR="00B316FF">
        <w:rPr>
          <w:lang w:val="es-CO" w:bidi="es-CO"/>
        </w:rPr>
        <w:t>educación en el riesgo de artefactos explosivos</w:t>
      </w:r>
      <w:r w:rsidRPr="00D714C1">
        <w:rPr>
          <w:lang w:val="es-CO" w:bidi="es-CO"/>
        </w:rPr>
        <w:t xml:space="preserve">, pero seguimos con la </w:t>
      </w:r>
      <w:r w:rsidR="00B316FF">
        <w:rPr>
          <w:lang w:val="es-CO" w:bidi="es-CO"/>
        </w:rPr>
        <w:t>educación en el riesgo de artefactos explosivos</w:t>
      </w:r>
      <w:r w:rsidRPr="00D714C1">
        <w:rPr>
          <w:lang w:val="es-CO" w:bidi="es-CO"/>
        </w:rPr>
        <w:t xml:space="preserve"> en los cruces fronterizos (por considerarla más crítica) con medidas de protección. También buscamos redoblar nuestra </w:t>
      </w:r>
      <w:r w:rsidR="00B316FF">
        <w:rPr>
          <w:lang w:val="es-CO" w:bidi="es-CO"/>
        </w:rPr>
        <w:t>educación en el riesgo de artefactos explosivos</w:t>
      </w:r>
      <w:r w:rsidRPr="00D714C1">
        <w:rPr>
          <w:lang w:val="es-CO" w:bidi="es-CO"/>
        </w:rPr>
        <w:t xml:space="preserve"> a distancia/a través de los medios de comunicación”.</w:t>
      </w:r>
    </w:p>
    <w:p w14:paraId="3BF29192" w14:textId="0C5F2554" w:rsidR="00437035" w:rsidRPr="00D714C1" w:rsidRDefault="00994912" w:rsidP="00437035">
      <w:pPr>
        <w:pStyle w:val="BulletLevel3"/>
        <w:rPr>
          <w:lang w:val="es-CO"/>
        </w:rPr>
      </w:pPr>
      <w:r w:rsidRPr="00D714C1">
        <w:rPr>
          <w:lang w:val="es-CO" w:bidi="es-CO"/>
        </w:rPr>
        <w:t xml:space="preserve">“DDG </w:t>
      </w:r>
      <w:proofErr w:type="spellStart"/>
      <w:r w:rsidRPr="00D714C1">
        <w:rPr>
          <w:lang w:val="es-CO" w:bidi="es-CO"/>
        </w:rPr>
        <w:t>Afghanistan</w:t>
      </w:r>
      <w:proofErr w:type="spellEnd"/>
      <w:r w:rsidRPr="00D714C1">
        <w:rPr>
          <w:lang w:val="es-CO" w:bidi="es-CO"/>
        </w:rPr>
        <w:t xml:space="preserve"> suspendió las sesiones directas de educación de riesgos en las comunidades, pero sigue con las sesiones directas de educación de riesgos en los puntos de cruce fronterizo que siguen abiertos, con medidas preventivas adecuadas de seguridad y con la capacidad esencial mínima. DDG </w:t>
      </w:r>
      <w:proofErr w:type="spellStart"/>
      <w:r w:rsidRPr="00D714C1">
        <w:rPr>
          <w:lang w:val="es-CO" w:bidi="es-CO"/>
        </w:rPr>
        <w:t>Afghanistan</w:t>
      </w:r>
      <w:proofErr w:type="spellEnd"/>
      <w:r w:rsidRPr="00D714C1">
        <w:rPr>
          <w:lang w:val="es-CO" w:bidi="es-CO"/>
        </w:rPr>
        <w:t xml:space="preserve"> está explorando ideas de cómo impartir la educación de riesgos a través de los medios de comunicación. También se interesa por aprender cómo integrar los mensajes de concienciación de educación de riesgos y COVID-19”.</w:t>
      </w:r>
    </w:p>
    <w:p w14:paraId="55B27046" w14:textId="7490B07E" w:rsidR="00437035" w:rsidRPr="00D714C1" w:rsidRDefault="00994912" w:rsidP="00437035">
      <w:pPr>
        <w:pStyle w:val="BulletLevel3"/>
        <w:rPr>
          <w:lang w:val="es-CO"/>
        </w:rPr>
      </w:pPr>
      <w:r w:rsidRPr="00D714C1">
        <w:rPr>
          <w:lang w:val="es-CO" w:bidi="es-CO"/>
        </w:rPr>
        <w:t xml:space="preserve">“Hola a todos, soy </w:t>
      </w:r>
      <w:proofErr w:type="spellStart"/>
      <w:r w:rsidRPr="00D714C1">
        <w:rPr>
          <w:lang w:val="es-CO" w:bidi="es-CO"/>
        </w:rPr>
        <w:t>Mahboob</w:t>
      </w:r>
      <w:proofErr w:type="spellEnd"/>
      <w:r w:rsidRPr="00D714C1">
        <w:rPr>
          <w:lang w:val="es-CO" w:bidi="es-CO"/>
        </w:rPr>
        <w:t xml:space="preserve"> de DDG </w:t>
      </w:r>
      <w:proofErr w:type="spellStart"/>
      <w:r w:rsidRPr="00D714C1">
        <w:rPr>
          <w:lang w:val="es-CO" w:bidi="es-CO"/>
        </w:rPr>
        <w:t>Afghanistan</w:t>
      </w:r>
      <w:proofErr w:type="spellEnd"/>
      <w:r w:rsidRPr="00D714C1">
        <w:rPr>
          <w:lang w:val="es-CO" w:bidi="es-CO"/>
        </w:rPr>
        <w:t xml:space="preserve">. No hemos suspendido por completo las actividades de </w:t>
      </w:r>
      <w:r w:rsidR="00B316FF">
        <w:rPr>
          <w:lang w:val="es-CO" w:bidi="es-CO"/>
        </w:rPr>
        <w:t>educación en el riesgo de artefactos explosivos</w:t>
      </w:r>
      <w:r w:rsidRPr="00D714C1">
        <w:rPr>
          <w:lang w:val="es-CO" w:bidi="es-CO"/>
        </w:rPr>
        <w:t xml:space="preserve">; están suspendidas las actividades de </w:t>
      </w:r>
      <w:r w:rsidR="00B316FF">
        <w:rPr>
          <w:lang w:val="es-CO" w:bidi="es-CO"/>
        </w:rPr>
        <w:t>educación en el riesgo de artefactos explosivos</w:t>
      </w:r>
      <w:r w:rsidRPr="00D714C1">
        <w:rPr>
          <w:lang w:val="es-CO" w:bidi="es-CO"/>
        </w:rPr>
        <w:t xml:space="preserve"> en las comunidades, pero seguimos impartiendo sesiones en los cruces fronterizos”.</w:t>
      </w:r>
    </w:p>
    <w:p w14:paraId="62304891" w14:textId="3445C171" w:rsidR="00437035" w:rsidRPr="00D714C1" w:rsidRDefault="00994912" w:rsidP="00437035">
      <w:pPr>
        <w:pStyle w:val="BulletLevel3"/>
        <w:rPr>
          <w:lang w:val="es-CO"/>
        </w:rPr>
      </w:pPr>
      <w:r w:rsidRPr="00D714C1">
        <w:rPr>
          <w:lang w:val="es-CO" w:bidi="es-CO"/>
        </w:rPr>
        <w:t>“La percepción es que no se deja a nadie atrás, particularmente personas con discapacidad y adultos mayores. Como HI, hemos establecido una red con las comunidades y hacemos seguimiento a la lista de personas con discapacidad que requieren servicios de rehabilitación física”.</w:t>
      </w:r>
    </w:p>
    <w:p w14:paraId="5FABF058" w14:textId="2B9C5C4C" w:rsidR="00437035" w:rsidRPr="00D714C1" w:rsidRDefault="00437035" w:rsidP="00437035">
      <w:pPr>
        <w:rPr>
          <w:lang w:val="es-CO"/>
        </w:rPr>
      </w:pPr>
    </w:p>
    <w:p w14:paraId="595043C5" w14:textId="77777777" w:rsidR="00437035" w:rsidRPr="00D714C1" w:rsidRDefault="00437035" w:rsidP="00437035">
      <w:pPr>
        <w:rPr>
          <w:lang w:val="es-CO"/>
        </w:rPr>
      </w:pPr>
    </w:p>
    <w:p w14:paraId="166C50BE" w14:textId="77777777" w:rsidR="00437035" w:rsidRPr="00D714C1" w:rsidRDefault="00437035" w:rsidP="00437035">
      <w:pPr>
        <w:rPr>
          <w:lang w:val="es-CO"/>
        </w:rPr>
      </w:pPr>
    </w:p>
    <w:p w14:paraId="5EE37568" w14:textId="77777777" w:rsidR="00437035" w:rsidRPr="00D714C1" w:rsidRDefault="00437035" w:rsidP="00437035">
      <w:pPr>
        <w:rPr>
          <w:lang w:val="es-CO"/>
        </w:rPr>
      </w:pPr>
    </w:p>
    <w:p w14:paraId="2091B177" w14:textId="77777777" w:rsidR="00437035" w:rsidRPr="00D714C1" w:rsidRDefault="00437035" w:rsidP="00437035">
      <w:pPr>
        <w:rPr>
          <w:lang w:val="es-CO"/>
        </w:rPr>
      </w:pPr>
    </w:p>
    <w:p w14:paraId="1942C7DF" w14:textId="77777777" w:rsidR="00437035" w:rsidRPr="00D714C1" w:rsidRDefault="00437035" w:rsidP="00437035">
      <w:pPr>
        <w:rPr>
          <w:lang w:val="es-CO"/>
        </w:rPr>
      </w:pPr>
    </w:p>
    <w:p w14:paraId="5C9EEDD6" w14:textId="77777777" w:rsidR="00437035" w:rsidRPr="00D714C1" w:rsidRDefault="00437035" w:rsidP="00CB7F10">
      <w:pPr>
        <w:rPr>
          <w:lang w:val="es-CO"/>
        </w:rPr>
      </w:pPr>
    </w:p>
    <w:p w14:paraId="5A85D169" w14:textId="77777777" w:rsidR="00CB7F10" w:rsidRPr="00D714C1" w:rsidRDefault="00CB7F10" w:rsidP="00CB7F10">
      <w:pPr>
        <w:tabs>
          <w:tab w:val="left" w:pos="5625"/>
        </w:tabs>
        <w:jc w:val="center"/>
        <w:rPr>
          <w:lang w:val="es-CO"/>
        </w:rPr>
      </w:pPr>
    </w:p>
    <w:sectPr w:rsidR="00CB7F10" w:rsidRPr="00D714C1" w:rsidSect="00E14FB1">
      <w:pgSz w:w="11906" w:h="16838" w:code="9"/>
      <w:pgMar w:top="1247" w:right="1247" w:bottom="1247" w:left="1247" w:header="39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B819A" w14:textId="77777777" w:rsidR="003F33E0" w:rsidRDefault="003F33E0" w:rsidP="00312A61">
      <w:r>
        <w:separator/>
      </w:r>
    </w:p>
    <w:p w14:paraId="07E7DC2C" w14:textId="77777777" w:rsidR="003F33E0" w:rsidRDefault="003F33E0" w:rsidP="00312A61"/>
    <w:p w14:paraId="64F634B0" w14:textId="77777777" w:rsidR="003F33E0" w:rsidRDefault="003F33E0"/>
  </w:endnote>
  <w:endnote w:type="continuationSeparator" w:id="0">
    <w:p w14:paraId="20F4E892" w14:textId="77777777" w:rsidR="003F33E0" w:rsidRDefault="003F33E0" w:rsidP="00312A61">
      <w:r>
        <w:continuationSeparator/>
      </w:r>
    </w:p>
    <w:p w14:paraId="6E8AE966" w14:textId="77777777" w:rsidR="003F33E0" w:rsidRDefault="003F33E0" w:rsidP="00312A61"/>
    <w:p w14:paraId="6228EF61" w14:textId="77777777" w:rsidR="003F33E0" w:rsidRDefault="003F33E0"/>
  </w:endnote>
  <w:endnote w:type="continuationNotice" w:id="1">
    <w:p w14:paraId="23424CCC" w14:textId="77777777" w:rsidR="003F33E0" w:rsidRDefault="003F33E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9B787" w14:textId="77777777" w:rsidR="00CE240B" w:rsidRDefault="00CE240B" w:rsidP="00312A61">
    <w:pPr>
      <w:pStyle w:val="Footer"/>
    </w:pPr>
  </w:p>
  <w:p w14:paraId="5AC2AC94" w14:textId="77777777" w:rsidR="00CE240B" w:rsidRDefault="00CE240B" w:rsidP="00312A61"/>
  <w:p w14:paraId="7963913D" w14:textId="77777777" w:rsidR="00CE240B" w:rsidRDefault="00CE240B" w:rsidP="00312A61"/>
  <w:p w14:paraId="7BC7CB71" w14:textId="77777777" w:rsidR="00CE240B" w:rsidRDefault="00CE240B" w:rsidP="00312A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1EA9C" w14:textId="7C778243" w:rsidR="00CE240B" w:rsidRDefault="00CE240B" w:rsidP="00500DA3">
    <w:pPr>
      <w:pStyle w:val="PageNumber1"/>
      <w:tabs>
        <w:tab w:val="clear" w:pos="9000"/>
        <w:tab w:val="left" w:pos="6165"/>
      </w:tabs>
    </w:pPr>
    <w:r w:rsidRPr="00FD5BB4">
      <w:rPr>
        <w:lang w:val="es-CO" w:bidi="es-CO"/>
      </w:rPr>
      <w:fldChar w:fldCharType="begin"/>
    </w:r>
    <w:r w:rsidRPr="00FD5BB4">
      <w:rPr>
        <w:lang w:val="es-CO" w:bidi="es-CO"/>
      </w:rPr>
      <w:instrText xml:space="preserve"> PAGE </w:instrText>
    </w:r>
    <w:r w:rsidRPr="00FD5BB4">
      <w:rPr>
        <w:lang w:val="es-CO" w:bidi="es-CO"/>
      </w:rPr>
      <w:fldChar w:fldCharType="separate"/>
    </w:r>
    <w:r>
      <w:rPr>
        <w:noProof/>
        <w:lang w:val="es-CO" w:bidi="es-CO"/>
      </w:rPr>
      <w:t>7</w:t>
    </w:r>
    <w:r w:rsidRPr="00FD5BB4">
      <w:rPr>
        <w:lang w:val="es-CO" w:bidi="es-CO"/>
      </w:rPr>
      <w:fldChar w:fldCharType="end"/>
    </w:r>
    <w:r>
      <w:rPr>
        <w:lang w:val="es-CO" w:bidi="es-CO"/>
      </w:rPr>
      <w:t xml:space="preserve"> </w:t>
    </w:r>
    <w:r w:rsidRPr="00FD5BB4">
      <w:rPr>
        <w:rStyle w:val="Verticaldash"/>
        <w:rFonts w:cs="Verdana"/>
        <w:sz w:val="17"/>
        <w:lang w:val="es-CO" w:bidi="es-CO"/>
      </w:rPr>
      <w:t>|</w:t>
    </w:r>
    <w:r>
      <w:rPr>
        <w:lang w:val="es-CO" w:bidi="es-CO"/>
      </w:rPr>
      <w:t xml:space="preserve"> </w:t>
    </w:r>
    <w:r w:rsidRPr="00FD5BB4">
      <w:rPr>
        <w:lang w:val="es-CO" w:bidi="es-CO"/>
      </w:rPr>
      <w:fldChar w:fldCharType="begin"/>
    </w:r>
    <w:r w:rsidRPr="00FD5BB4">
      <w:rPr>
        <w:lang w:val="es-CO" w:bidi="es-CO"/>
      </w:rPr>
      <w:instrText xml:space="preserve"> NUMPAGES +1</w:instrText>
    </w:r>
    <w:r w:rsidRPr="00FD5BB4">
      <w:rPr>
        <w:lang w:val="es-CO" w:bidi="es-CO"/>
      </w:rPr>
      <w:fldChar w:fldCharType="separate"/>
    </w:r>
    <w:r>
      <w:rPr>
        <w:noProof/>
        <w:lang w:val="es-CO" w:bidi="es-CO"/>
      </w:rPr>
      <w:t>14</w:t>
    </w:r>
    <w:r w:rsidRPr="00FD5BB4">
      <w:rPr>
        <w:lang w:val="es-CO" w:bidi="es-C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5BEF6" w14:textId="2E68DC66" w:rsidR="00CE240B" w:rsidRDefault="00CE240B" w:rsidP="00312A61">
    <w:pPr>
      <w:pStyle w:val="PageNumber1"/>
    </w:pPr>
    <w:r w:rsidRPr="47F14592">
      <w:rPr>
        <w:noProof/>
        <w:lang w:val="es-CO" w:bidi="es-CO"/>
      </w:rPr>
      <w:fldChar w:fldCharType="begin"/>
    </w:r>
    <w:r>
      <w:rPr>
        <w:lang w:val="es-CO" w:bidi="es-CO"/>
      </w:rPr>
      <w:instrText xml:space="preserve"> PAGE </w:instrText>
    </w:r>
    <w:r w:rsidRPr="47F14592">
      <w:rPr>
        <w:lang w:val="es-CO" w:bidi="es-CO"/>
      </w:rPr>
      <w:fldChar w:fldCharType="separate"/>
    </w:r>
    <w:r w:rsidRPr="47F14592">
      <w:rPr>
        <w:noProof/>
        <w:lang w:val="es-CO" w:bidi="es-CO"/>
      </w:rPr>
      <w:t>1</w:t>
    </w:r>
    <w:r w:rsidRPr="47F14592">
      <w:rPr>
        <w:noProof/>
        <w:lang w:val="es-CO" w:bidi="es-CO"/>
      </w:rPr>
      <w:fldChar w:fldCharType="end"/>
    </w:r>
    <w:r>
      <w:rPr>
        <w:lang w:val="es-CO" w:bidi="es-CO"/>
      </w:rPr>
      <w:t xml:space="preserve"> </w:t>
    </w:r>
    <w:r w:rsidRPr="47F14592">
      <w:rPr>
        <w:rStyle w:val="Verticaldash"/>
        <w:rFonts w:cs="Verdana"/>
        <w:sz w:val="17"/>
        <w:szCs w:val="17"/>
        <w:lang w:val="es-CO" w:bidi="es-CO"/>
      </w:rPr>
      <w:t>|</w:t>
    </w:r>
    <w:r>
      <w:rPr>
        <w:lang w:val="es-CO" w:bidi="es-CO"/>
      </w:rPr>
      <w:t xml:space="preserve"> </w:t>
    </w:r>
    <w:r w:rsidRPr="47F14592">
      <w:rPr>
        <w:noProof/>
        <w:lang w:val="es-CO" w:bidi="es-CO"/>
      </w:rPr>
      <w:fldChar w:fldCharType="begin"/>
    </w:r>
    <w:r>
      <w:rPr>
        <w:lang w:val="es-CO" w:bidi="es-CO"/>
      </w:rPr>
      <w:instrText xml:space="preserve"> NUMPAGES +1</w:instrText>
    </w:r>
    <w:r w:rsidRPr="47F14592">
      <w:rPr>
        <w:lang w:val="es-CO" w:bidi="es-CO"/>
      </w:rPr>
      <w:fldChar w:fldCharType="separate"/>
    </w:r>
    <w:r w:rsidRPr="47F14592">
      <w:rPr>
        <w:noProof/>
        <w:lang w:val="es-CO" w:bidi="es-CO"/>
      </w:rPr>
      <w:t>1</w:t>
    </w:r>
    <w:r w:rsidRPr="47F14592">
      <w:rPr>
        <w:noProof/>
        <w:lang w:val="es-CO" w:bidi="es-C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843C1" w14:textId="77777777" w:rsidR="003F33E0" w:rsidRDefault="003F33E0" w:rsidP="00312A61">
      <w:r>
        <w:separator/>
      </w:r>
    </w:p>
    <w:p w14:paraId="4C2C1F20" w14:textId="77777777" w:rsidR="003F33E0" w:rsidRDefault="003F33E0" w:rsidP="00312A61"/>
    <w:p w14:paraId="53B2EA90" w14:textId="77777777" w:rsidR="003F33E0" w:rsidRDefault="003F33E0"/>
  </w:footnote>
  <w:footnote w:type="continuationSeparator" w:id="0">
    <w:p w14:paraId="7669823E" w14:textId="77777777" w:rsidR="003F33E0" w:rsidRDefault="003F33E0" w:rsidP="00312A61">
      <w:r>
        <w:continuationSeparator/>
      </w:r>
    </w:p>
    <w:p w14:paraId="48B6839A" w14:textId="77777777" w:rsidR="003F33E0" w:rsidRDefault="003F33E0" w:rsidP="00312A61"/>
    <w:p w14:paraId="1CE3872F" w14:textId="77777777" w:rsidR="003F33E0" w:rsidRDefault="003F33E0"/>
  </w:footnote>
  <w:footnote w:type="continuationNotice" w:id="1">
    <w:p w14:paraId="45447031" w14:textId="77777777" w:rsidR="003F33E0" w:rsidRDefault="003F33E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6FCE0" w14:textId="77777777" w:rsidR="00CE240B" w:rsidRDefault="00CE240B" w:rsidP="00312A61">
    <w:pPr>
      <w:pStyle w:val="Header"/>
    </w:pPr>
  </w:p>
  <w:p w14:paraId="0C2FD2A7" w14:textId="77777777" w:rsidR="00CE240B" w:rsidRDefault="00CE240B" w:rsidP="00312A61"/>
  <w:p w14:paraId="21B109C4" w14:textId="77777777" w:rsidR="00CE240B" w:rsidRDefault="00CE240B" w:rsidP="00312A61"/>
  <w:p w14:paraId="1FD0676B" w14:textId="77777777" w:rsidR="00CE240B" w:rsidRDefault="00CE240B" w:rsidP="00312A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D33CE" w14:textId="169C6C64" w:rsidR="00CE240B" w:rsidRDefault="00CE240B" w:rsidP="00312A61">
    <w:pPr>
      <w:pStyle w:val="Header"/>
    </w:pPr>
    <w:r>
      <w:rPr>
        <w:noProof/>
        <w:lang w:val="es-CO" w:bidi="es-CO"/>
      </w:rPr>
      <w:drawing>
        <wp:anchor distT="0" distB="0" distL="114300" distR="114300" simplePos="0" relativeHeight="251658240" behindDoc="0" locked="0" layoutInCell="1" allowOverlap="1" wp14:anchorId="0E24A653" wp14:editId="25A9C035">
          <wp:simplePos x="0" y="0"/>
          <wp:positionH relativeFrom="column">
            <wp:posOffset>-45085</wp:posOffset>
          </wp:positionH>
          <wp:positionV relativeFrom="paragraph">
            <wp:posOffset>83185</wp:posOffset>
          </wp:positionV>
          <wp:extent cx="1066800" cy="3771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66800" cy="377190"/>
                  </a:xfrm>
                  <a:prstGeom prst="rect">
                    <a:avLst/>
                  </a:prstGeom>
                </pic:spPr>
              </pic:pic>
            </a:graphicData>
          </a:graphic>
          <wp14:sizeRelH relativeFrom="page">
            <wp14:pctWidth>0</wp14:pctWidth>
          </wp14:sizeRelH>
          <wp14:sizeRelV relativeFrom="page">
            <wp14:pctHeight>0</wp14:pctHeight>
          </wp14:sizeRelV>
        </wp:anchor>
      </w:drawing>
    </w:r>
  </w:p>
  <w:p w14:paraId="6C03586C" w14:textId="77777777" w:rsidR="00CE240B" w:rsidRDefault="00CE240B" w:rsidP="00312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B80BE" w14:textId="77777777" w:rsidR="00CE240B" w:rsidRDefault="00CE240B" w:rsidP="004F63F4">
    <w:pPr>
      <w:spacing w:before="0" w:after="0"/>
      <w:jc w:val="center"/>
    </w:pPr>
  </w:p>
  <w:p w14:paraId="5601DA12" w14:textId="4DAF05BA" w:rsidR="00CE240B" w:rsidRDefault="26CBD706" w:rsidP="004F63F4">
    <w:pPr>
      <w:jc w:val="center"/>
    </w:pPr>
    <w:r>
      <w:rPr>
        <w:noProof/>
        <w:lang w:val="es-CO" w:bidi="es-CO"/>
      </w:rPr>
      <w:drawing>
        <wp:inline distT="0" distB="0" distL="0" distR="0" wp14:anchorId="1B10237A" wp14:editId="3306E437">
          <wp:extent cx="3382107" cy="909709"/>
          <wp:effectExtent l="0" t="0" r="0" b="5080"/>
          <wp:docPr id="13269077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382107" cy="90970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C93F2" w14:textId="77777777" w:rsidR="00CE240B" w:rsidRDefault="00CE240B" w:rsidP="004F63F4">
    <w:pPr>
      <w:spacing w:before="0" w:after="0"/>
      <w:jc w:val="center"/>
    </w:pPr>
  </w:p>
  <w:p w14:paraId="23D48A3A" w14:textId="77777777" w:rsidR="00CE240B" w:rsidRDefault="26CBD706" w:rsidP="004F63F4">
    <w:pPr>
      <w:jc w:val="center"/>
    </w:pPr>
    <w:r>
      <w:rPr>
        <w:noProof/>
        <w:lang w:val="es-CO" w:bidi="es-CO"/>
      </w:rPr>
      <w:drawing>
        <wp:inline distT="0" distB="0" distL="0" distR="0" wp14:anchorId="2BC78859" wp14:editId="4B580D1B">
          <wp:extent cx="3382107" cy="90970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382107" cy="9097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C7A4F"/>
    <w:multiLevelType w:val="multilevel"/>
    <w:tmpl w:val="FC1440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F462CE3"/>
    <w:multiLevelType w:val="multilevel"/>
    <w:tmpl w:val="5F2A5A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2DC3EBC"/>
    <w:multiLevelType w:val="multilevel"/>
    <w:tmpl w:val="C24692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82D1F08"/>
    <w:multiLevelType w:val="hybridMultilevel"/>
    <w:tmpl w:val="A5264CE0"/>
    <w:lvl w:ilvl="0" w:tplc="8BC8FCE6">
      <w:start w:val="1"/>
      <w:numFmt w:val="decimal"/>
      <w:pStyle w:val="Numberedlist"/>
      <w:lvlText w:val="%1."/>
      <w:lvlJc w:val="left"/>
      <w:pPr>
        <w:ind w:left="644" w:hanging="360"/>
      </w:pPr>
      <w:rPr>
        <w:rFonts w:cs="Times New Roman" w:hint="default"/>
        <w:color w:val="114171" w:themeColor="accent1"/>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1BE54AC6"/>
    <w:multiLevelType w:val="hybridMultilevel"/>
    <w:tmpl w:val="DEC2381E"/>
    <w:lvl w:ilvl="0" w:tplc="1360A63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F0D7A"/>
    <w:multiLevelType w:val="multilevel"/>
    <w:tmpl w:val="5BA2B8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28E5BF4"/>
    <w:multiLevelType w:val="multilevel"/>
    <w:tmpl w:val="F28464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2DF0C41"/>
    <w:multiLevelType w:val="multilevel"/>
    <w:tmpl w:val="8C3E915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C09048E"/>
    <w:multiLevelType w:val="hybridMultilevel"/>
    <w:tmpl w:val="0FCC5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D734187"/>
    <w:multiLevelType w:val="hybridMultilevel"/>
    <w:tmpl w:val="0DFCD0F0"/>
    <w:lvl w:ilvl="0" w:tplc="5A00209E">
      <w:start w:val="1"/>
      <w:numFmt w:val="bullet"/>
      <w:pStyle w:val="BulletLevel3"/>
      <w:lvlText w:val="–"/>
      <w:lvlJc w:val="left"/>
      <w:pPr>
        <w:ind w:left="1155" w:hanging="304"/>
      </w:pPr>
      <w:rPr>
        <w:rFonts w:ascii="Arial" w:hAnsi="Arial" w:hint="default"/>
        <w:b w:val="0"/>
        <w:bCs w:val="0"/>
        <w:i w:val="0"/>
        <w:iCs w:val="0"/>
        <w:color w:val="114171" w:themeColor="accent1"/>
        <w:sz w:val="18"/>
        <w:szCs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3B446A"/>
    <w:multiLevelType w:val="multilevel"/>
    <w:tmpl w:val="8F20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131F81"/>
    <w:multiLevelType w:val="hybridMultilevel"/>
    <w:tmpl w:val="C4B85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76F5DBA"/>
    <w:multiLevelType w:val="hybridMultilevel"/>
    <w:tmpl w:val="2A125280"/>
    <w:lvl w:ilvl="0" w:tplc="491C2F82">
      <w:start w:val="1"/>
      <w:numFmt w:val="bullet"/>
      <w:pStyle w:val="BulletLevel1"/>
      <w:lvlText w:val=""/>
      <w:lvlJc w:val="left"/>
      <w:pPr>
        <w:ind w:left="664" w:hanging="380"/>
      </w:pPr>
      <w:rPr>
        <w:rFonts w:ascii="Symbol" w:hAnsi="Symbol" w:hint="default"/>
        <w:color w:val="114171" w:themeColor="accent1"/>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8354BA"/>
    <w:multiLevelType w:val="multilevel"/>
    <w:tmpl w:val="3B20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C21CAC"/>
    <w:multiLevelType w:val="hybridMultilevel"/>
    <w:tmpl w:val="54603F3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5" w15:restartNumberingAfterBreak="0">
    <w:nsid w:val="56607326"/>
    <w:multiLevelType w:val="hybridMultilevel"/>
    <w:tmpl w:val="8EC0D1E6"/>
    <w:lvl w:ilvl="0" w:tplc="0032F4FE">
      <w:start w:val="1"/>
      <w:numFmt w:val="bullet"/>
      <w:pStyle w:val="BulletinTable"/>
      <w:lvlText w:val=""/>
      <w:lvlJc w:val="left"/>
      <w:pPr>
        <w:ind w:left="720" w:hanging="360"/>
      </w:pPr>
      <w:rPr>
        <w:rFonts w:ascii="Symbol" w:hAnsi="Symbol" w:hint="default"/>
        <w:color w:val="4A718D" w:themeColor="accent3"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747AC7"/>
    <w:multiLevelType w:val="multilevel"/>
    <w:tmpl w:val="CD98EF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86A3102"/>
    <w:multiLevelType w:val="multilevel"/>
    <w:tmpl w:val="8F1EF2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9282CDB"/>
    <w:multiLevelType w:val="hybridMultilevel"/>
    <w:tmpl w:val="3228A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48675E"/>
    <w:multiLevelType w:val="hybridMultilevel"/>
    <w:tmpl w:val="1D56AFC4"/>
    <w:lvl w:ilvl="0" w:tplc="9B7C67C4">
      <w:start w:val="1"/>
      <w:numFmt w:val="decimal"/>
      <w:pStyle w:val="Heading2"/>
      <w:lvlText w:val="%1."/>
      <w:lvlJc w:val="left"/>
      <w:pPr>
        <w:ind w:left="720" w:hanging="360"/>
      </w:pPr>
      <w:rPr>
        <w:rFonts w:hint="default"/>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6A11629A"/>
    <w:multiLevelType w:val="multilevel"/>
    <w:tmpl w:val="1532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EB3187"/>
    <w:multiLevelType w:val="hybridMultilevel"/>
    <w:tmpl w:val="675A81D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2" w15:restartNumberingAfterBreak="0">
    <w:nsid w:val="6F5E382B"/>
    <w:multiLevelType w:val="multilevel"/>
    <w:tmpl w:val="020E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926ADF"/>
    <w:multiLevelType w:val="multilevel"/>
    <w:tmpl w:val="9028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C45374"/>
    <w:multiLevelType w:val="multilevel"/>
    <w:tmpl w:val="B46AF0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C627DD2"/>
    <w:multiLevelType w:val="hybridMultilevel"/>
    <w:tmpl w:val="64F2073C"/>
    <w:lvl w:ilvl="0" w:tplc="E14E2B8A">
      <w:start w:val="1"/>
      <w:numFmt w:val="decimal"/>
      <w:pStyle w:val="BulletLevel2"/>
      <w:lvlText w:val="%1)"/>
      <w:lvlJc w:val="left"/>
      <w:pPr>
        <w:ind w:left="850" w:hanging="283"/>
      </w:pPr>
      <w:rPr>
        <w:rFonts w:asciiTheme="majorHAnsi" w:hAnsiTheme="majorHAnsi" w:cstheme="majorHAnsi" w:hint="default"/>
        <w:b/>
        <w:color w:val="114171" w:themeColor="accent1"/>
        <w:sz w:val="22"/>
        <w:szCs w:val="22"/>
      </w:rPr>
    </w:lvl>
    <w:lvl w:ilvl="1" w:tplc="040C0003" w:tentative="1">
      <w:start w:val="1"/>
      <w:numFmt w:val="bullet"/>
      <w:lvlText w:val="o"/>
      <w:lvlJc w:val="left"/>
      <w:pPr>
        <w:ind w:left="3706" w:hanging="360"/>
      </w:pPr>
      <w:rPr>
        <w:rFonts w:ascii="Courier New" w:hAnsi="Courier New" w:hint="default"/>
      </w:rPr>
    </w:lvl>
    <w:lvl w:ilvl="2" w:tplc="040C0005" w:tentative="1">
      <w:start w:val="1"/>
      <w:numFmt w:val="bullet"/>
      <w:lvlText w:val=""/>
      <w:lvlJc w:val="left"/>
      <w:pPr>
        <w:ind w:left="4426" w:hanging="360"/>
      </w:pPr>
      <w:rPr>
        <w:rFonts w:ascii="Wingdings" w:hAnsi="Wingdings" w:hint="default"/>
      </w:rPr>
    </w:lvl>
    <w:lvl w:ilvl="3" w:tplc="040C0001" w:tentative="1">
      <w:start w:val="1"/>
      <w:numFmt w:val="bullet"/>
      <w:lvlText w:val=""/>
      <w:lvlJc w:val="left"/>
      <w:pPr>
        <w:ind w:left="5146" w:hanging="360"/>
      </w:pPr>
      <w:rPr>
        <w:rFonts w:ascii="Symbol" w:hAnsi="Symbol" w:hint="default"/>
      </w:rPr>
    </w:lvl>
    <w:lvl w:ilvl="4" w:tplc="040C0003" w:tentative="1">
      <w:start w:val="1"/>
      <w:numFmt w:val="bullet"/>
      <w:lvlText w:val="o"/>
      <w:lvlJc w:val="left"/>
      <w:pPr>
        <w:ind w:left="5866" w:hanging="360"/>
      </w:pPr>
      <w:rPr>
        <w:rFonts w:ascii="Courier New" w:hAnsi="Courier New" w:hint="default"/>
      </w:rPr>
    </w:lvl>
    <w:lvl w:ilvl="5" w:tplc="040C0005" w:tentative="1">
      <w:start w:val="1"/>
      <w:numFmt w:val="bullet"/>
      <w:lvlText w:val=""/>
      <w:lvlJc w:val="left"/>
      <w:pPr>
        <w:ind w:left="6586" w:hanging="360"/>
      </w:pPr>
      <w:rPr>
        <w:rFonts w:ascii="Wingdings" w:hAnsi="Wingdings" w:hint="default"/>
      </w:rPr>
    </w:lvl>
    <w:lvl w:ilvl="6" w:tplc="040C0001" w:tentative="1">
      <w:start w:val="1"/>
      <w:numFmt w:val="bullet"/>
      <w:lvlText w:val=""/>
      <w:lvlJc w:val="left"/>
      <w:pPr>
        <w:ind w:left="7306" w:hanging="360"/>
      </w:pPr>
      <w:rPr>
        <w:rFonts w:ascii="Symbol" w:hAnsi="Symbol" w:hint="default"/>
      </w:rPr>
    </w:lvl>
    <w:lvl w:ilvl="7" w:tplc="040C0003" w:tentative="1">
      <w:start w:val="1"/>
      <w:numFmt w:val="bullet"/>
      <w:lvlText w:val="o"/>
      <w:lvlJc w:val="left"/>
      <w:pPr>
        <w:ind w:left="8026" w:hanging="360"/>
      </w:pPr>
      <w:rPr>
        <w:rFonts w:ascii="Courier New" w:hAnsi="Courier New" w:hint="default"/>
      </w:rPr>
    </w:lvl>
    <w:lvl w:ilvl="8" w:tplc="040C0005" w:tentative="1">
      <w:start w:val="1"/>
      <w:numFmt w:val="bullet"/>
      <w:lvlText w:val=""/>
      <w:lvlJc w:val="left"/>
      <w:pPr>
        <w:ind w:left="8746" w:hanging="360"/>
      </w:pPr>
      <w:rPr>
        <w:rFonts w:ascii="Wingdings" w:hAnsi="Wingdings" w:hint="default"/>
      </w:rPr>
    </w:lvl>
  </w:abstractNum>
  <w:num w:numId="1">
    <w:abstractNumId w:val="25"/>
  </w:num>
  <w:num w:numId="2">
    <w:abstractNumId w:val="12"/>
  </w:num>
  <w:num w:numId="3">
    <w:abstractNumId w:val="3"/>
  </w:num>
  <w:num w:numId="4">
    <w:abstractNumId w:val="9"/>
  </w:num>
  <w:num w:numId="5">
    <w:abstractNumId w:val="19"/>
  </w:num>
  <w:num w:numId="6">
    <w:abstractNumId w:val="15"/>
  </w:num>
  <w:num w:numId="7">
    <w:abstractNumId w:val="7"/>
  </w:num>
  <w:num w:numId="8">
    <w:abstractNumId w:val="0"/>
  </w:num>
  <w:num w:numId="9">
    <w:abstractNumId w:val="24"/>
  </w:num>
  <w:num w:numId="10">
    <w:abstractNumId w:val="2"/>
  </w:num>
  <w:num w:numId="11">
    <w:abstractNumId w:val="22"/>
  </w:num>
  <w:num w:numId="12">
    <w:abstractNumId w:val="20"/>
  </w:num>
  <w:num w:numId="13">
    <w:abstractNumId w:val="13"/>
  </w:num>
  <w:num w:numId="14">
    <w:abstractNumId w:val="5"/>
  </w:num>
  <w:num w:numId="15">
    <w:abstractNumId w:val="23"/>
  </w:num>
  <w:num w:numId="16">
    <w:abstractNumId w:val="16"/>
  </w:num>
  <w:num w:numId="17">
    <w:abstractNumId w:val="17"/>
  </w:num>
  <w:num w:numId="18">
    <w:abstractNumId w:val="1"/>
  </w:num>
  <w:num w:numId="19">
    <w:abstractNumId w:val="6"/>
  </w:num>
  <w:num w:numId="20">
    <w:abstractNumId w:val="10"/>
  </w:num>
  <w:num w:numId="21">
    <w:abstractNumId w:val="18"/>
  </w:num>
  <w:num w:numId="22">
    <w:abstractNumId w:val="21"/>
  </w:num>
  <w:num w:numId="23">
    <w:abstractNumId w:val="11"/>
  </w:num>
  <w:num w:numId="24">
    <w:abstractNumId w:val="14"/>
  </w:num>
  <w:num w:numId="25">
    <w:abstractNumId w:val="4"/>
  </w:num>
  <w:num w:numId="2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3"/>
  <w:drawingGridVerticalSpacing w:val="113"/>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D33"/>
    <w:rsid w:val="000047C2"/>
    <w:rsid w:val="00006920"/>
    <w:rsid w:val="00007A4B"/>
    <w:rsid w:val="0001238C"/>
    <w:rsid w:val="00012C37"/>
    <w:rsid w:val="00013931"/>
    <w:rsid w:val="0001420A"/>
    <w:rsid w:val="000220A9"/>
    <w:rsid w:val="00024EC0"/>
    <w:rsid w:val="00026F48"/>
    <w:rsid w:val="0003E036"/>
    <w:rsid w:val="000543BA"/>
    <w:rsid w:val="00061272"/>
    <w:rsid w:val="000626A1"/>
    <w:rsid w:val="000629A5"/>
    <w:rsid w:val="00065A27"/>
    <w:rsid w:val="0007020B"/>
    <w:rsid w:val="00070CC6"/>
    <w:rsid w:val="00072156"/>
    <w:rsid w:val="0007224D"/>
    <w:rsid w:val="000723B8"/>
    <w:rsid w:val="000816E9"/>
    <w:rsid w:val="000841B5"/>
    <w:rsid w:val="00084B56"/>
    <w:rsid w:val="00086BB8"/>
    <w:rsid w:val="00091DD4"/>
    <w:rsid w:val="000931B7"/>
    <w:rsid w:val="0009740F"/>
    <w:rsid w:val="000A3CF5"/>
    <w:rsid w:val="000B321E"/>
    <w:rsid w:val="000C44ED"/>
    <w:rsid w:val="000D09CF"/>
    <w:rsid w:val="000D4A57"/>
    <w:rsid w:val="000E3DDE"/>
    <w:rsid w:val="000E4B51"/>
    <w:rsid w:val="000E5B4D"/>
    <w:rsid w:val="000E6217"/>
    <w:rsid w:val="000F0754"/>
    <w:rsid w:val="000F0B1F"/>
    <w:rsid w:val="00100F55"/>
    <w:rsid w:val="001026E3"/>
    <w:rsid w:val="001050FC"/>
    <w:rsid w:val="00106A86"/>
    <w:rsid w:val="00107662"/>
    <w:rsid w:val="00115A76"/>
    <w:rsid w:val="001164E6"/>
    <w:rsid w:val="00120BB7"/>
    <w:rsid w:val="00122C1B"/>
    <w:rsid w:val="001238D6"/>
    <w:rsid w:val="00135476"/>
    <w:rsid w:val="00141C7B"/>
    <w:rsid w:val="00153EE3"/>
    <w:rsid w:val="00157432"/>
    <w:rsid w:val="00161486"/>
    <w:rsid w:val="001656B8"/>
    <w:rsid w:val="00166E3B"/>
    <w:rsid w:val="00181725"/>
    <w:rsid w:val="00190060"/>
    <w:rsid w:val="00196D43"/>
    <w:rsid w:val="00197680"/>
    <w:rsid w:val="00197BCB"/>
    <w:rsid w:val="001A3B3A"/>
    <w:rsid w:val="001A50D2"/>
    <w:rsid w:val="001B0F08"/>
    <w:rsid w:val="001B29C2"/>
    <w:rsid w:val="001B3C82"/>
    <w:rsid w:val="001B46EC"/>
    <w:rsid w:val="001C162F"/>
    <w:rsid w:val="001C1767"/>
    <w:rsid w:val="001C4133"/>
    <w:rsid w:val="001C7AE9"/>
    <w:rsid w:val="001D0B9E"/>
    <w:rsid w:val="001D302A"/>
    <w:rsid w:val="001D39CB"/>
    <w:rsid w:val="001D39E3"/>
    <w:rsid w:val="001D7948"/>
    <w:rsid w:val="001E607C"/>
    <w:rsid w:val="001F0A54"/>
    <w:rsid w:val="001F1FF3"/>
    <w:rsid w:val="001F2245"/>
    <w:rsid w:val="001F35AF"/>
    <w:rsid w:val="001F4159"/>
    <w:rsid w:val="001F4E81"/>
    <w:rsid w:val="001F66A0"/>
    <w:rsid w:val="001F66C6"/>
    <w:rsid w:val="00211772"/>
    <w:rsid w:val="00211FD0"/>
    <w:rsid w:val="002160E2"/>
    <w:rsid w:val="00216444"/>
    <w:rsid w:val="00216AEA"/>
    <w:rsid w:val="00217F8B"/>
    <w:rsid w:val="00220658"/>
    <w:rsid w:val="00220B90"/>
    <w:rsid w:val="002211A2"/>
    <w:rsid w:val="00222A86"/>
    <w:rsid w:val="00226810"/>
    <w:rsid w:val="00231A2A"/>
    <w:rsid w:val="00232158"/>
    <w:rsid w:val="00232902"/>
    <w:rsid w:val="00233948"/>
    <w:rsid w:val="00237738"/>
    <w:rsid w:val="00243F5F"/>
    <w:rsid w:val="0024544D"/>
    <w:rsid w:val="00250AC1"/>
    <w:rsid w:val="00256506"/>
    <w:rsid w:val="0026243A"/>
    <w:rsid w:val="00263178"/>
    <w:rsid w:val="00272199"/>
    <w:rsid w:val="00287E4E"/>
    <w:rsid w:val="00293ABE"/>
    <w:rsid w:val="002A2493"/>
    <w:rsid w:val="002A25DB"/>
    <w:rsid w:val="002A30D8"/>
    <w:rsid w:val="002B0223"/>
    <w:rsid w:val="002B76A0"/>
    <w:rsid w:val="002C2F4E"/>
    <w:rsid w:val="002C3317"/>
    <w:rsid w:val="002C5959"/>
    <w:rsid w:val="002C6A76"/>
    <w:rsid w:val="002D764F"/>
    <w:rsid w:val="002E202B"/>
    <w:rsid w:val="002E3D47"/>
    <w:rsid w:val="002E4A83"/>
    <w:rsid w:val="002E522E"/>
    <w:rsid w:val="002E68ED"/>
    <w:rsid w:val="002E6A77"/>
    <w:rsid w:val="002F3425"/>
    <w:rsid w:val="002F38B4"/>
    <w:rsid w:val="002F460D"/>
    <w:rsid w:val="002F5484"/>
    <w:rsid w:val="00300813"/>
    <w:rsid w:val="00305954"/>
    <w:rsid w:val="00311E24"/>
    <w:rsid w:val="00312A61"/>
    <w:rsid w:val="00314E7B"/>
    <w:rsid w:val="0031540E"/>
    <w:rsid w:val="00326A18"/>
    <w:rsid w:val="00331F96"/>
    <w:rsid w:val="003323F6"/>
    <w:rsid w:val="00332F11"/>
    <w:rsid w:val="00332FB2"/>
    <w:rsid w:val="0033595B"/>
    <w:rsid w:val="003368B2"/>
    <w:rsid w:val="00342DE3"/>
    <w:rsid w:val="00346BB2"/>
    <w:rsid w:val="00346CD6"/>
    <w:rsid w:val="003530F9"/>
    <w:rsid w:val="0035661B"/>
    <w:rsid w:val="003609D3"/>
    <w:rsid w:val="0036162C"/>
    <w:rsid w:val="003621EB"/>
    <w:rsid w:val="00366CC6"/>
    <w:rsid w:val="00367151"/>
    <w:rsid w:val="003675CB"/>
    <w:rsid w:val="003700B1"/>
    <w:rsid w:val="00374AAB"/>
    <w:rsid w:val="00377B87"/>
    <w:rsid w:val="0038048D"/>
    <w:rsid w:val="003815E4"/>
    <w:rsid w:val="003861D1"/>
    <w:rsid w:val="00390448"/>
    <w:rsid w:val="00392DD3"/>
    <w:rsid w:val="00396EE4"/>
    <w:rsid w:val="003A01AA"/>
    <w:rsid w:val="003A158C"/>
    <w:rsid w:val="003A2008"/>
    <w:rsid w:val="003A6379"/>
    <w:rsid w:val="003B4DC5"/>
    <w:rsid w:val="003B550D"/>
    <w:rsid w:val="003B692A"/>
    <w:rsid w:val="003C02DA"/>
    <w:rsid w:val="003C5237"/>
    <w:rsid w:val="003D26E8"/>
    <w:rsid w:val="003D2D80"/>
    <w:rsid w:val="003D7BF8"/>
    <w:rsid w:val="003E4738"/>
    <w:rsid w:val="003F33E0"/>
    <w:rsid w:val="003F7B17"/>
    <w:rsid w:val="003F7C40"/>
    <w:rsid w:val="004017A2"/>
    <w:rsid w:val="00403941"/>
    <w:rsid w:val="0041429D"/>
    <w:rsid w:val="00417D47"/>
    <w:rsid w:val="004202C3"/>
    <w:rsid w:val="004204B2"/>
    <w:rsid w:val="00426CDC"/>
    <w:rsid w:val="00427F65"/>
    <w:rsid w:val="00430563"/>
    <w:rsid w:val="00435748"/>
    <w:rsid w:val="00437035"/>
    <w:rsid w:val="00442034"/>
    <w:rsid w:val="00443979"/>
    <w:rsid w:val="00444778"/>
    <w:rsid w:val="00451E94"/>
    <w:rsid w:val="00453ED6"/>
    <w:rsid w:val="00454619"/>
    <w:rsid w:val="004573B9"/>
    <w:rsid w:val="004605F3"/>
    <w:rsid w:val="00473C5C"/>
    <w:rsid w:val="00481B16"/>
    <w:rsid w:val="004863C8"/>
    <w:rsid w:val="00486CE9"/>
    <w:rsid w:val="004914A6"/>
    <w:rsid w:val="00491C53"/>
    <w:rsid w:val="00494B50"/>
    <w:rsid w:val="004A3AD3"/>
    <w:rsid w:val="004B1109"/>
    <w:rsid w:val="004B5E15"/>
    <w:rsid w:val="004B6B2E"/>
    <w:rsid w:val="004B6EAA"/>
    <w:rsid w:val="004B6F11"/>
    <w:rsid w:val="004B7443"/>
    <w:rsid w:val="004B79D3"/>
    <w:rsid w:val="004C1508"/>
    <w:rsid w:val="004D0AE9"/>
    <w:rsid w:val="004D4668"/>
    <w:rsid w:val="004D6C3F"/>
    <w:rsid w:val="004E2EDC"/>
    <w:rsid w:val="004E3227"/>
    <w:rsid w:val="004E474D"/>
    <w:rsid w:val="004E52E7"/>
    <w:rsid w:val="004E6BEC"/>
    <w:rsid w:val="004F023B"/>
    <w:rsid w:val="004F1A41"/>
    <w:rsid w:val="004F4645"/>
    <w:rsid w:val="004F4660"/>
    <w:rsid w:val="004F4C2B"/>
    <w:rsid w:val="004F63F4"/>
    <w:rsid w:val="004F6748"/>
    <w:rsid w:val="004F779C"/>
    <w:rsid w:val="004F791B"/>
    <w:rsid w:val="00500DA3"/>
    <w:rsid w:val="00501633"/>
    <w:rsid w:val="00502707"/>
    <w:rsid w:val="00502ABD"/>
    <w:rsid w:val="00510814"/>
    <w:rsid w:val="005154EF"/>
    <w:rsid w:val="00516784"/>
    <w:rsid w:val="0052228A"/>
    <w:rsid w:val="0052228D"/>
    <w:rsid w:val="005223BA"/>
    <w:rsid w:val="0052445E"/>
    <w:rsid w:val="0052695B"/>
    <w:rsid w:val="00527415"/>
    <w:rsid w:val="00532D85"/>
    <w:rsid w:val="00533D70"/>
    <w:rsid w:val="005347F1"/>
    <w:rsid w:val="00545779"/>
    <w:rsid w:val="0054689D"/>
    <w:rsid w:val="005537F4"/>
    <w:rsid w:val="00554DB9"/>
    <w:rsid w:val="005552FD"/>
    <w:rsid w:val="00556955"/>
    <w:rsid w:val="00564987"/>
    <w:rsid w:val="00566234"/>
    <w:rsid w:val="00566522"/>
    <w:rsid w:val="0057596A"/>
    <w:rsid w:val="00575B74"/>
    <w:rsid w:val="005968DD"/>
    <w:rsid w:val="005A1609"/>
    <w:rsid w:val="005A5F24"/>
    <w:rsid w:val="005A7DC4"/>
    <w:rsid w:val="005B1B6D"/>
    <w:rsid w:val="005B1E1A"/>
    <w:rsid w:val="005B2E6A"/>
    <w:rsid w:val="005B3083"/>
    <w:rsid w:val="005B6B39"/>
    <w:rsid w:val="005C0502"/>
    <w:rsid w:val="005C0A36"/>
    <w:rsid w:val="005C1396"/>
    <w:rsid w:val="005C4CB8"/>
    <w:rsid w:val="005C54B8"/>
    <w:rsid w:val="005C7543"/>
    <w:rsid w:val="005D0D4C"/>
    <w:rsid w:val="005D133E"/>
    <w:rsid w:val="005D2AFC"/>
    <w:rsid w:val="005D473A"/>
    <w:rsid w:val="005D4CCB"/>
    <w:rsid w:val="005D7EC2"/>
    <w:rsid w:val="005E04E5"/>
    <w:rsid w:val="005E0C2A"/>
    <w:rsid w:val="005F1158"/>
    <w:rsid w:val="005F14B7"/>
    <w:rsid w:val="005F1952"/>
    <w:rsid w:val="005F5BED"/>
    <w:rsid w:val="00601CA6"/>
    <w:rsid w:val="00620650"/>
    <w:rsid w:val="00621473"/>
    <w:rsid w:val="006244EE"/>
    <w:rsid w:val="00626604"/>
    <w:rsid w:val="00626875"/>
    <w:rsid w:val="00626F0C"/>
    <w:rsid w:val="00627B3B"/>
    <w:rsid w:val="00635DFB"/>
    <w:rsid w:val="00637E5F"/>
    <w:rsid w:val="0064607B"/>
    <w:rsid w:val="006463D3"/>
    <w:rsid w:val="00647B51"/>
    <w:rsid w:val="006557FF"/>
    <w:rsid w:val="0065586D"/>
    <w:rsid w:val="00655D10"/>
    <w:rsid w:val="0065656A"/>
    <w:rsid w:val="0065693E"/>
    <w:rsid w:val="006606C9"/>
    <w:rsid w:val="00662553"/>
    <w:rsid w:val="00664E36"/>
    <w:rsid w:val="006671F5"/>
    <w:rsid w:val="006731CD"/>
    <w:rsid w:val="006776C0"/>
    <w:rsid w:val="0068033F"/>
    <w:rsid w:val="00680F10"/>
    <w:rsid w:val="006825D8"/>
    <w:rsid w:val="0068376B"/>
    <w:rsid w:val="006857EC"/>
    <w:rsid w:val="0068589B"/>
    <w:rsid w:val="00695AFD"/>
    <w:rsid w:val="00696261"/>
    <w:rsid w:val="00697CA6"/>
    <w:rsid w:val="006A0126"/>
    <w:rsid w:val="006A4B3F"/>
    <w:rsid w:val="006A69FC"/>
    <w:rsid w:val="006B18D6"/>
    <w:rsid w:val="006B62F7"/>
    <w:rsid w:val="006B745C"/>
    <w:rsid w:val="006C35D4"/>
    <w:rsid w:val="006C527F"/>
    <w:rsid w:val="006D4142"/>
    <w:rsid w:val="006D5211"/>
    <w:rsid w:val="006D5D1B"/>
    <w:rsid w:val="006D70C8"/>
    <w:rsid w:val="006E0F93"/>
    <w:rsid w:val="006E32AE"/>
    <w:rsid w:val="006E630F"/>
    <w:rsid w:val="006F20F5"/>
    <w:rsid w:val="006F7169"/>
    <w:rsid w:val="007005BC"/>
    <w:rsid w:val="00701E4F"/>
    <w:rsid w:val="0070418C"/>
    <w:rsid w:val="00707B37"/>
    <w:rsid w:val="00713ED0"/>
    <w:rsid w:val="00713EF7"/>
    <w:rsid w:val="00714505"/>
    <w:rsid w:val="007204EC"/>
    <w:rsid w:val="0072327D"/>
    <w:rsid w:val="007250C5"/>
    <w:rsid w:val="007255BC"/>
    <w:rsid w:val="007256BA"/>
    <w:rsid w:val="007327AB"/>
    <w:rsid w:val="00736943"/>
    <w:rsid w:val="007369F9"/>
    <w:rsid w:val="00745E38"/>
    <w:rsid w:val="0075566E"/>
    <w:rsid w:val="00757849"/>
    <w:rsid w:val="007640D5"/>
    <w:rsid w:val="007651F0"/>
    <w:rsid w:val="007725DB"/>
    <w:rsid w:val="0077494E"/>
    <w:rsid w:val="007820D9"/>
    <w:rsid w:val="00784DB9"/>
    <w:rsid w:val="00786E6D"/>
    <w:rsid w:val="00790C50"/>
    <w:rsid w:val="00792664"/>
    <w:rsid w:val="007933E9"/>
    <w:rsid w:val="0079351F"/>
    <w:rsid w:val="00796BE6"/>
    <w:rsid w:val="007A038E"/>
    <w:rsid w:val="007A591E"/>
    <w:rsid w:val="007A7C3E"/>
    <w:rsid w:val="007B06C7"/>
    <w:rsid w:val="007B595F"/>
    <w:rsid w:val="007B7327"/>
    <w:rsid w:val="007C26AC"/>
    <w:rsid w:val="007C4337"/>
    <w:rsid w:val="007D52ED"/>
    <w:rsid w:val="007E05AB"/>
    <w:rsid w:val="007E3168"/>
    <w:rsid w:val="007E44EB"/>
    <w:rsid w:val="007E5B24"/>
    <w:rsid w:val="007F5E01"/>
    <w:rsid w:val="007F6842"/>
    <w:rsid w:val="007F74DF"/>
    <w:rsid w:val="007F7F95"/>
    <w:rsid w:val="00805A46"/>
    <w:rsid w:val="00811F5B"/>
    <w:rsid w:val="008202B9"/>
    <w:rsid w:val="00820EF9"/>
    <w:rsid w:val="008255D9"/>
    <w:rsid w:val="00825A46"/>
    <w:rsid w:val="00831674"/>
    <w:rsid w:val="00834189"/>
    <w:rsid w:val="00835E9A"/>
    <w:rsid w:val="0083609B"/>
    <w:rsid w:val="00844D08"/>
    <w:rsid w:val="008505DF"/>
    <w:rsid w:val="008515E9"/>
    <w:rsid w:val="008524E4"/>
    <w:rsid w:val="008538A6"/>
    <w:rsid w:val="008610D8"/>
    <w:rsid w:val="0086120F"/>
    <w:rsid w:val="0086256A"/>
    <w:rsid w:val="00863E69"/>
    <w:rsid w:val="008648E4"/>
    <w:rsid w:val="00867793"/>
    <w:rsid w:val="00875B71"/>
    <w:rsid w:val="00877225"/>
    <w:rsid w:val="00883223"/>
    <w:rsid w:val="00885758"/>
    <w:rsid w:val="00885967"/>
    <w:rsid w:val="00886431"/>
    <w:rsid w:val="00886D33"/>
    <w:rsid w:val="008971B0"/>
    <w:rsid w:val="008A0752"/>
    <w:rsid w:val="008A0F2B"/>
    <w:rsid w:val="008A3218"/>
    <w:rsid w:val="008A7857"/>
    <w:rsid w:val="008B09BE"/>
    <w:rsid w:val="008B141F"/>
    <w:rsid w:val="008B42CC"/>
    <w:rsid w:val="008B5FE4"/>
    <w:rsid w:val="008BA969"/>
    <w:rsid w:val="008C0325"/>
    <w:rsid w:val="008C1371"/>
    <w:rsid w:val="008C1808"/>
    <w:rsid w:val="008C35E5"/>
    <w:rsid w:val="008C666A"/>
    <w:rsid w:val="008C7522"/>
    <w:rsid w:val="008D50B8"/>
    <w:rsid w:val="008E1E90"/>
    <w:rsid w:val="008E3213"/>
    <w:rsid w:val="008E5E73"/>
    <w:rsid w:val="008E7AE8"/>
    <w:rsid w:val="008F2A2A"/>
    <w:rsid w:val="008F43FB"/>
    <w:rsid w:val="008F5052"/>
    <w:rsid w:val="00900061"/>
    <w:rsid w:val="0090343D"/>
    <w:rsid w:val="00904466"/>
    <w:rsid w:val="009063F7"/>
    <w:rsid w:val="00910A95"/>
    <w:rsid w:val="00910D6A"/>
    <w:rsid w:val="00912418"/>
    <w:rsid w:val="0091495A"/>
    <w:rsid w:val="00915D14"/>
    <w:rsid w:val="00932713"/>
    <w:rsid w:val="00932E88"/>
    <w:rsid w:val="00935EF7"/>
    <w:rsid w:val="009401CB"/>
    <w:rsid w:val="00941B30"/>
    <w:rsid w:val="0095178C"/>
    <w:rsid w:val="009522A1"/>
    <w:rsid w:val="00954191"/>
    <w:rsid w:val="00957183"/>
    <w:rsid w:val="00960BBC"/>
    <w:rsid w:val="00962870"/>
    <w:rsid w:val="00966F4D"/>
    <w:rsid w:val="009723A9"/>
    <w:rsid w:val="00972E2C"/>
    <w:rsid w:val="009768BE"/>
    <w:rsid w:val="0097696F"/>
    <w:rsid w:val="00981051"/>
    <w:rsid w:val="00984BFC"/>
    <w:rsid w:val="009850BE"/>
    <w:rsid w:val="009854A2"/>
    <w:rsid w:val="00986488"/>
    <w:rsid w:val="00986B91"/>
    <w:rsid w:val="00990E57"/>
    <w:rsid w:val="00992249"/>
    <w:rsid w:val="00994912"/>
    <w:rsid w:val="009A1C43"/>
    <w:rsid w:val="009A274A"/>
    <w:rsid w:val="009A27F0"/>
    <w:rsid w:val="009A7A5E"/>
    <w:rsid w:val="009B0435"/>
    <w:rsid w:val="009B0FCD"/>
    <w:rsid w:val="009B35E1"/>
    <w:rsid w:val="009B3CB7"/>
    <w:rsid w:val="009C0EE1"/>
    <w:rsid w:val="009C135C"/>
    <w:rsid w:val="009C1A3E"/>
    <w:rsid w:val="009C6524"/>
    <w:rsid w:val="009D29AB"/>
    <w:rsid w:val="009D6C02"/>
    <w:rsid w:val="009E1813"/>
    <w:rsid w:val="009E4460"/>
    <w:rsid w:val="009E4C3A"/>
    <w:rsid w:val="009E752C"/>
    <w:rsid w:val="009F0206"/>
    <w:rsid w:val="009F166F"/>
    <w:rsid w:val="009F3051"/>
    <w:rsid w:val="009F3EF0"/>
    <w:rsid w:val="009F6A11"/>
    <w:rsid w:val="00A07D20"/>
    <w:rsid w:val="00A13DE8"/>
    <w:rsid w:val="00A146E6"/>
    <w:rsid w:val="00A17446"/>
    <w:rsid w:val="00A17DE7"/>
    <w:rsid w:val="00A26A40"/>
    <w:rsid w:val="00A3020D"/>
    <w:rsid w:val="00A305CF"/>
    <w:rsid w:val="00A30903"/>
    <w:rsid w:val="00A316B5"/>
    <w:rsid w:val="00A32816"/>
    <w:rsid w:val="00A32AA6"/>
    <w:rsid w:val="00A32D7C"/>
    <w:rsid w:val="00A35FAE"/>
    <w:rsid w:val="00A40714"/>
    <w:rsid w:val="00A4124B"/>
    <w:rsid w:val="00A43E43"/>
    <w:rsid w:val="00A4645A"/>
    <w:rsid w:val="00A56CF4"/>
    <w:rsid w:val="00A62D32"/>
    <w:rsid w:val="00A63F0B"/>
    <w:rsid w:val="00A6407B"/>
    <w:rsid w:val="00A65184"/>
    <w:rsid w:val="00A65877"/>
    <w:rsid w:val="00A71E42"/>
    <w:rsid w:val="00A805B8"/>
    <w:rsid w:val="00A90227"/>
    <w:rsid w:val="00A9026C"/>
    <w:rsid w:val="00A93988"/>
    <w:rsid w:val="00AA1898"/>
    <w:rsid w:val="00AA24AC"/>
    <w:rsid w:val="00AA37BA"/>
    <w:rsid w:val="00AA7B87"/>
    <w:rsid w:val="00AB31B1"/>
    <w:rsid w:val="00AB5E05"/>
    <w:rsid w:val="00AC24C6"/>
    <w:rsid w:val="00AC2E6E"/>
    <w:rsid w:val="00AC40F8"/>
    <w:rsid w:val="00AC7265"/>
    <w:rsid w:val="00AC736D"/>
    <w:rsid w:val="00AD2264"/>
    <w:rsid w:val="00AD3311"/>
    <w:rsid w:val="00AD4536"/>
    <w:rsid w:val="00AD74EC"/>
    <w:rsid w:val="00AE3198"/>
    <w:rsid w:val="00AE5BD1"/>
    <w:rsid w:val="00AE63B4"/>
    <w:rsid w:val="00AE7B19"/>
    <w:rsid w:val="00AF10DE"/>
    <w:rsid w:val="00AF1235"/>
    <w:rsid w:val="00AF1937"/>
    <w:rsid w:val="00AF4FC6"/>
    <w:rsid w:val="00AF53F6"/>
    <w:rsid w:val="00AF5A1D"/>
    <w:rsid w:val="00B04070"/>
    <w:rsid w:val="00B22A42"/>
    <w:rsid w:val="00B24911"/>
    <w:rsid w:val="00B26AE2"/>
    <w:rsid w:val="00B316FF"/>
    <w:rsid w:val="00B36ABE"/>
    <w:rsid w:val="00B40B00"/>
    <w:rsid w:val="00B41349"/>
    <w:rsid w:val="00B4197F"/>
    <w:rsid w:val="00B50834"/>
    <w:rsid w:val="00B51321"/>
    <w:rsid w:val="00B52FEB"/>
    <w:rsid w:val="00B61A63"/>
    <w:rsid w:val="00B63BD3"/>
    <w:rsid w:val="00B64445"/>
    <w:rsid w:val="00B65EF1"/>
    <w:rsid w:val="00B67027"/>
    <w:rsid w:val="00B81E72"/>
    <w:rsid w:val="00B94335"/>
    <w:rsid w:val="00B9519D"/>
    <w:rsid w:val="00B97B69"/>
    <w:rsid w:val="00BA09B3"/>
    <w:rsid w:val="00BA3690"/>
    <w:rsid w:val="00BA4EC3"/>
    <w:rsid w:val="00BA693F"/>
    <w:rsid w:val="00BB03D8"/>
    <w:rsid w:val="00BB20C6"/>
    <w:rsid w:val="00BB3836"/>
    <w:rsid w:val="00BB7AC2"/>
    <w:rsid w:val="00BC11F9"/>
    <w:rsid w:val="00BC4413"/>
    <w:rsid w:val="00BC621C"/>
    <w:rsid w:val="00BD01C0"/>
    <w:rsid w:val="00BD33CB"/>
    <w:rsid w:val="00BD6FFA"/>
    <w:rsid w:val="00BE22EE"/>
    <w:rsid w:val="00BE6675"/>
    <w:rsid w:val="00BE6C05"/>
    <w:rsid w:val="00BF0BF9"/>
    <w:rsid w:val="00C03377"/>
    <w:rsid w:val="00C03E32"/>
    <w:rsid w:val="00C07087"/>
    <w:rsid w:val="00C11DE0"/>
    <w:rsid w:val="00C14803"/>
    <w:rsid w:val="00C15FE8"/>
    <w:rsid w:val="00C16A39"/>
    <w:rsid w:val="00C23FF4"/>
    <w:rsid w:val="00C30E27"/>
    <w:rsid w:val="00C40685"/>
    <w:rsid w:val="00C41179"/>
    <w:rsid w:val="00C41B9D"/>
    <w:rsid w:val="00C43459"/>
    <w:rsid w:val="00C46DAB"/>
    <w:rsid w:val="00C472D3"/>
    <w:rsid w:val="00C47AAD"/>
    <w:rsid w:val="00C53416"/>
    <w:rsid w:val="00C5624B"/>
    <w:rsid w:val="00C620E6"/>
    <w:rsid w:val="00C63A30"/>
    <w:rsid w:val="00C72751"/>
    <w:rsid w:val="00C80A71"/>
    <w:rsid w:val="00C8296A"/>
    <w:rsid w:val="00C8309A"/>
    <w:rsid w:val="00C95292"/>
    <w:rsid w:val="00C9543C"/>
    <w:rsid w:val="00C95D50"/>
    <w:rsid w:val="00CA1D87"/>
    <w:rsid w:val="00CA1DFA"/>
    <w:rsid w:val="00CA2499"/>
    <w:rsid w:val="00CA40D3"/>
    <w:rsid w:val="00CA4A15"/>
    <w:rsid w:val="00CB1123"/>
    <w:rsid w:val="00CB2456"/>
    <w:rsid w:val="00CB3FE8"/>
    <w:rsid w:val="00CB54A3"/>
    <w:rsid w:val="00CB5983"/>
    <w:rsid w:val="00CB645F"/>
    <w:rsid w:val="00CB7F10"/>
    <w:rsid w:val="00CC4801"/>
    <w:rsid w:val="00CC5F87"/>
    <w:rsid w:val="00CD6345"/>
    <w:rsid w:val="00CD6B11"/>
    <w:rsid w:val="00CE0404"/>
    <w:rsid w:val="00CE240B"/>
    <w:rsid w:val="00CE7F60"/>
    <w:rsid w:val="00CF0A41"/>
    <w:rsid w:val="00CF0EDA"/>
    <w:rsid w:val="00CF13AD"/>
    <w:rsid w:val="00CF2AC3"/>
    <w:rsid w:val="00D032F7"/>
    <w:rsid w:val="00D120A3"/>
    <w:rsid w:val="00D14191"/>
    <w:rsid w:val="00D1454B"/>
    <w:rsid w:val="00D155E5"/>
    <w:rsid w:val="00D20D0D"/>
    <w:rsid w:val="00D23192"/>
    <w:rsid w:val="00D26D37"/>
    <w:rsid w:val="00D27F83"/>
    <w:rsid w:val="00D31AD7"/>
    <w:rsid w:val="00D34DA9"/>
    <w:rsid w:val="00D43504"/>
    <w:rsid w:val="00D44795"/>
    <w:rsid w:val="00D44915"/>
    <w:rsid w:val="00D46F7C"/>
    <w:rsid w:val="00D555B5"/>
    <w:rsid w:val="00D64AD1"/>
    <w:rsid w:val="00D714C1"/>
    <w:rsid w:val="00D715FD"/>
    <w:rsid w:val="00D71E79"/>
    <w:rsid w:val="00D74300"/>
    <w:rsid w:val="00D77A24"/>
    <w:rsid w:val="00D823D6"/>
    <w:rsid w:val="00D842BE"/>
    <w:rsid w:val="00D85A82"/>
    <w:rsid w:val="00D938EF"/>
    <w:rsid w:val="00D9528D"/>
    <w:rsid w:val="00D96E78"/>
    <w:rsid w:val="00DA02CF"/>
    <w:rsid w:val="00DA5D45"/>
    <w:rsid w:val="00DA7288"/>
    <w:rsid w:val="00DB10C5"/>
    <w:rsid w:val="00DB22B3"/>
    <w:rsid w:val="00DB5687"/>
    <w:rsid w:val="00DB66D4"/>
    <w:rsid w:val="00DC21F3"/>
    <w:rsid w:val="00DC5820"/>
    <w:rsid w:val="00DC6C30"/>
    <w:rsid w:val="00DD1110"/>
    <w:rsid w:val="00DD2016"/>
    <w:rsid w:val="00DD2A32"/>
    <w:rsid w:val="00DD48E3"/>
    <w:rsid w:val="00DD49DE"/>
    <w:rsid w:val="00DE3449"/>
    <w:rsid w:val="00DE45E3"/>
    <w:rsid w:val="00DE4B8F"/>
    <w:rsid w:val="00DF2D8D"/>
    <w:rsid w:val="00DF3E58"/>
    <w:rsid w:val="00DF69E6"/>
    <w:rsid w:val="00E004E5"/>
    <w:rsid w:val="00E02DAD"/>
    <w:rsid w:val="00E04593"/>
    <w:rsid w:val="00E05FC6"/>
    <w:rsid w:val="00E10662"/>
    <w:rsid w:val="00E13B25"/>
    <w:rsid w:val="00E149D8"/>
    <w:rsid w:val="00E14B3C"/>
    <w:rsid w:val="00E14FB1"/>
    <w:rsid w:val="00E20C25"/>
    <w:rsid w:val="00E20FD9"/>
    <w:rsid w:val="00E210DD"/>
    <w:rsid w:val="00E2339F"/>
    <w:rsid w:val="00E27C59"/>
    <w:rsid w:val="00E3300C"/>
    <w:rsid w:val="00E378BE"/>
    <w:rsid w:val="00E4343A"/>
    <w:rsid w:val="00E4593E"/>
    <w:rsid w:val="00E51807"/>
    <w:rsid w:val="00E63043"/>
    <w:rsid w:val="00E634A4"/>
    <w:rsid w:val="00E63F79"/>
    <w:rsid w:val="00E71D4D"/>
    <w:rsid w:val="00E741C7"/>
    <w:rsid w:val="00E80A43"/>
    <w:rsid w:val="00E8124B"/>
    <w:rsid w:val="00E822A7"/>
    <w:rsid w:val="00E90F46"/>
    <w:rsid w:val="00E92B27"/>
    <w:rsid w:val="00E9593F"/>
    <w:rsid w:val="00E97B62"/>
    <w:rsid w:val="00E97C90"/>
    <w:rsid w:val="00EA3135"/>
    <w:rsid w:val="00EA79D7"/>
    <w:rsid w:val="00EB0FD7"/>
    <w:rsid w:val="00EB5D60"/>
    <w:rsid w:val="00EB7D94"/>
    <w:rsid w:val="00EC0477"/>
    <w:rsid w:val="00EC0660"/>
    <w:rsid w:val="00EC169B"/>
    <w:rsid w:val="00EC43CB"/>
    <w:rsid w:val="00EC75D9"/>
    <w:rsid w:val="00EC7E24"/>
    <w:rsid w:val="00ED1A1F"/>
    <w:rsid w:val="00ED42DC"/>
    <w:rsid w:val="00ED6106"/>
    <w:rsid w:val="00EE0A76"/>
    <w:rsid w:val="00EE0EC1"/>
    <w:rsid w:val="00EE2CDA"/>
    <w:rsid w:val="00EE4E4C"/>
    <w:rsid w:val="00EF011C"/>
    <w:rsid w:val="00EF0E9A"/>
    <w:rsid w:val="00EF3CDD"/>
    <w:rsid w:val="00EF47CC"/>
    <w:rsid w:val="00F025D5"/>
    <w:rsid w:val="00F0771E"/>
    <w:rsid w:val="00F138AE"/>
    <w:rsid w:val="00F165AD"/>
    <w:rsid w:val="00F20EF2"/>
    <w:rsid w:val="00F23275"/>
    <w:rsid w:val="00F26772"/>
    <w:rsid w:val="00F30528"/>
    <w:rsid w:val="00F309AA"/>
    <w:rsid w:val="00F329EC"/>
    <w:rsid w:val="00F44E15"/>
    <w:rsid w:val="00F4525D"/>
    <w:rsid w:val="00F45329"/>
    <w:rsid w:val="00F4595F"/>
    <w:rsid w:val="00F461F9"/>
    <w:rsid w:val="00F46BF9"/>
    <w:rsid w:val="00F471D9"/>
    <w:rsid w:val="00F4799B"/>
    <w:rsid w:val="00F5211A"/>
    <w:rsid w:val="00F5229D"/>
    <w:rsid w:val="00F54CE5"/>
    <w:rsid w:val="00F55FF3"/>
    <w:rsid w:val="00F56009"/>
    <w:rsid w:val="00F57D9F"/>
    <w:rsid w:val="00F62099"/>
    <w:rsid w:val="00F6550E"/>
    <w:rsid w:val="00F728AB"/>
    <w:rsid w:val="00F7305A"/>
    <w:rsid w:val="00F76656"/>
    <w:rsid w:val="00F76889"/>
    <w:rsid w:val="00F83B50"/>
    <w:rsid w:val="00F85072"/>
    <w:rsid w:val="00F86D6F"/>
    <w:rsid w:val="00F9333E"/>
    <w:rsid w:val="00F97FA6"/>
    <w:rsid w:val="00FA3192"/>
    <w:rsid w:val="00FA5E7A"/>
    <w:rsid w:val="00FB3B62"/>
    <w:rsid w:val="00FC1F51"/>
    <w:rsid w:val="00FC22B2"/>
    <w:rsid w:val="00FC58A6"/>
    <w:rsid w:val="00FC6154"/>
    <w:rsid w:val="00FC6F2B"/>
    <w:rsid w:val="00FD36D8"/>
    <w:rsid w:val="00FD5BB4"/>
    <w:rsid w:val="00FD5DB3"/>
    <w:rsid w:val="00FD6489"/>
    <w:rsid w:val="00FE5D3F"/>
    <w:rsid w:val="00FF289A"/>
    <w:rsid w:val="0106B884"/>
    <w:rsid w:val="0130F78B"/>
    <w:rsid w:val="013B1996"/>
    <w:rsid w:val="014E4C62"/>
    <w:rsid w:val="017481F3"/>
    <w:rsid w:val="01A8BE77"/>
    <w:rsid w:val="01AA7C23"/>
    <w:rsid w:val="01DBB6A1"/>
    <w:rsid w:val="02341B7C"/>
    <w:rsid w:val="023D2192"/>
    <w:rsid w:val="0252A88C"/>
    <w:rsid w:val="026C509B"/>
    <w:rsid w:val="0285C519"/>
    <w:rsid w:val="02891B84"/>
    <w:rsid w:val="0297AA31"/>
    <w:rsid w:val="02B55E80"/>
    <w:rsid w:val="02E20411"/>
    <w:rsid w:val="031724F6"/>
    <w:rsid w:val="0319A6DD"/>
    <w:rsid w:val="032FBD3F"/>
    <w:rsid w:val="0334711F"/>
    <w:rsid w:val="036376D4"/>
    <w:rsid w:val="036670BB"/>
    <w:rsid w:val="037FABD8"/>
    <w:rsid w:val="03AD3B91"/>
    <w:rsid w:val="03BBA4D0"/>
    <w:rsid w:val="03CD1449"/>
    <w:rsid w:val="03EA3F1B"/>
    <w:rsid w:val="041C5564"/>
    <w:rsid w:val="041F5239"/>
    <w:rsid w:val="042C4DFB"/>
    <w:rsid w:val="04832C48"/>
    <w:rsid w:val="049CEFC4"/>
    <w:rsid w:val="04B94451"/>
    <w:rsid w:val="04FB796D"/>
    <w:rsid w:val="051785AD"/>
    <w:rsid w:val="0551D6BD"/>
    <w:rsid w:val="056F5E36"/>
    <w:rsid w:val="0579230A"/>
    <w:rsid w:val="0585308D"/>
    <w:rsid w:val="05A9C2D2"/>
    <w:rsid w:val="05B2FA82"/>
    <w:rsid w:val="05EAAC16"/>
    <w:rsid w:val="05FE73CD"/>
    <w:rsid w:val="05FF14F2"/>
    <w:rsid w:val="061A0423"/>
    <w:rsid w:val="062982A5"/>
    <w:rsid w:val="063DE791"/>
    <w:rsid w:val="06664CA3"/>
    <w:rsid w:val="0666F3B5"/>
    <w:rsid w:val="06838C41"/>
    <w:rsid w:val="0692AEF0"/>
    <w:rsid w:val="06D42F2D"/>
    <w:rsid w:val="06E1E255"/>
    <w:rsid w:val="070744AF"/>
    <w:rsid w:val="070D91D2"/>
    <w:rsid w:val="07101046"/>
    <w:rsid w:val="073A65EE"/>
    <w:rsid w:val="08431995"/>
    <w:rsid w:val="086AC4D1"/>
    <w:rsid w:val="08B1A440"/>
    <w:rsid w:val="08C69DEA"/>
    <w:rsid w:val="09135EC9"/>
    <w:rsid w:val="0947941E"/>
    <w:rsid w:val="095172EF"/>
    <w:rsid w:val="0977F67A"/>
    <w:rsid w:val="098868E3"/>
    <w:rsid w:val="098937A5"/>
    <w:rsid w:val="0999C0DA"/>
    <w:rsid w:val="099AC9B4"/>
    <w:rsid w:val="09A7E7C2"/>
    <w:rsid w:val="0A05C644"/>
    <w:rsid w:val="0A12E07D"/>
    <w:rsid w:val="0A1361DD"/>
    <w:rsid w:val="0A41FCC5"/>
    <w:rsid w:val="0A59EA83"/>
    <w:rsid w:val="0A873242"/>
    <w:rsid w:val="0A879756"/>
    <w:rsid w:val="0ACCAD73"/>
    <w:rsid w:val="0ADFC18C"/>
    <w:rsid w:val="0AE44457"/>
    <w:rsid w:val="0AE4663F"/>
    <w:rsid w:val="0B333852"/>
    <w:rsid w:val="0B745B39"/>
    <w:rsid w:val="0B80D90B"/>
    <w:rsid w:val="0BC4E1DB"/>
    <w:rsid w:val="0BE0A295"/>
    <w:rsid w:val="0BEA8657"/>
    <w:rsid w:val="0C656F19"/>
    <w:rsid w:val="0C827683"/>
    <w:rsid w:val="0C8452B7"/>
    <w:rsid w:val="0CB0CF32"/>
    <w:rsid w:val="0CB820E0"/>
    <w:rsid w:val="0CCD2C0F"/>
    <w:rsid w:val="0CCF1556"/>
    <w:rsid w:val="0CE7DDD2"/>
    <w:rsid w:val="0CEDB148"/>
    <w:rsid w:val="0CF3E6D9"/>
    <w:rsid w:val="0D00A2D5"/>
    <w:rsid w:val="0D0793E3"/>
    <w:rsid w:val="0D3B39FA"/>
    <w:rsid w:val="0D3FA112"/>
    <w:rsid w:val="0D5EDD8F"/>
    <w:rsid w:val="0D6DAF7E"/>
    <w:rsid w:val="0D7B7355"/>
    <w:rsid w:val="0D8F6DF9"/>
    <w:rsid w:val="0E55A0A5"/>
    <w:rsid w:val="0E883A8E"/>
    <w:rsid w:val="0E8FA227"/>
    <w:rsid w:val="0EC6329D"/>
    <w:rsid w:val="0ED35005"/>
    <w:rsid w:val="0EDE9F3E"/>
    <w:rsid w:val="0F0819B8"/>
    <w:rsid w:val="0F3DF50F"/>
    <w:rsid w:val="0F436650"/>
    <w:rsid w:val="0FBCFE65"/>
    <w:rsid w:val="10315941"/>
    <w:rsid w:val="107C4074"/>
    <w:rsid w:val="107F620B"/>
    <w:rsid w:val="10CCC4F3"/>
    <w:rsid w:val="10D7D70E"/>
    <w:rsid w:val="10E1E4E2"/>
    <w:rsid w:val="111E6FE5"/>
    <w:rsid w:val="11404A14"/>
    <w:rsid w:val="11443264"/>
    <w:rsid w:val="1153A480"/>
    <w:rsid w:val="11AB6C8B"/>
    <w:rsid w:val="11B3275D"/>
    <w:rsid w:val="11BC84F9"/>
    <w:rsid w:val="11CCB7F8"/>
    <w:rsid w:val="11EA9029"/>
    <w:rsid w:val="11FFCD04"/>
    <w:rsid w:val="127BB1B5"/>
    <w:rsid w:val="1287D79F"/>
    <w:rsid w:val="1289DABD"/>
    <w:rsid w:val="12BAE7D8"/>
    <w:rsid w:val="12EE46E4"/>
    <w:rsid w:val="12F1CDEC"/>
    <w:rsid w:val="1317AE3F"/>
    <w:rsid w:val="1323A31F"/>
    <w:rsid w:val="134E5D8A"/>
    <w:rsid w:val="13666F18"/>
    <w:rsid w:val="13D672D2"/>
    <w:rsid w:val="13EB5FF0"/>
    <w:rsid w:val="13F69D42"/>
    <w:rsid w:val="14347433"/>
    <w:rsid w:val="14378A0F"/>
    <w:rsid w:val="14AB0C2B"/>
    <w:rsid w:val="14B0F49C"/>
    <w:rsid w:val="14B21E8A"/>
    <w:rsid w:val="14B5A683"/>
    <w:rsid w:val="14D2684F"/>
    <w:rsid w:val="14DEAB02"/>
    <w:rsid w:val="151FF46A"/>
    <w:rsid w:val="152FC17D"/>
    <w:rsid w:val="153616F6"/>
    <w:rsid w:val="15491264"/>
    <w:rsid w:val="155805A5"/>
    <w:rsid w:val="15896329"/>
    <w:rsid w:val="15B3DD82"/>
    <w:rsid w:val="15DB96CC"/>
    <w:rsid w:val="15F7FEC8"/>
    <w:rsid w:val="166C0031"/>
    <w:rsid w:val="167213D2"/>
    <w:rsid w:val="16862EDD"/>
    <w:rsid w:val="16BCC0EA"/>
    <w:rsid w:val="16DF5CFA"/>
    <w:rsid w:val="16DFDA80"/>
    <w:rsid w:val="170B3983"/>
    <w:rsid w:val="1727327E"/>
    <w:rsid w:val="173737A2"/>
    <w:rsid w:val="1765A5DE"/>
    <w:rsid w:val="177A6EDF"/>
    <w:rsid w:val="17A34691"/>
    <w:rsid w:val="17B30D18"/>
    <w:rsid w:val="17BB2CCC"/>
    <w:rsid w:val="17CB33FB"/>
    <w:rsid w:val="17E1D73D"/>
    <w:rsid w:val="17E25910"/>
    <w:rsid w:val="1837431A"/>
    <w:rsid w:val="1842AB64"/>
    <w:rsid w:val="18553C13"/>
    <w:rsid w:val="1869C97D"/>
    <w:rsid w:val="188DE486"/>
    <w:rsid w:val="188F74D7"/>
    <w:rsid w:val="18B8DAC4"/>
    <w:rsid w:val="18EF70AE"/>
    <w:rsid w:val="18FD92A3"/>
    <w:rsid w:val="190471DF"/>
    <w:rsid w:val="194FF5D5"/>
    <w:rsid w:val="19A6CC2F"/>
    <w:rsid w:val="19BA2C21"/>
    <w:rsid w:val="19CCF799"/>
    <w:rsid w:val="19DE8670"/>
    <w:rsid w:val="19E4E7A2"/>
    <w:rsid w:val="1A4445CC"/>
    <w:rsid w:val="1A6C32C6"/>
    <w:rsid w:val="1A7182E8"/>
    <w:rsid w:val="1A8B0257"/>
    <w:rsid w:val="1A8F92E1"/>
    <w:rsid w:val="1AA62D47"/>
    <w:rsid w:val="1AAFD8EC"/>
    <w:rsid w:val="1ABA6ED4"/>
    <w:rsid w:val="1B768511"/>
    <w:rsid w:val="1BA123C1"/>
    <w:rsid w:val="1BAC4159"/>
    <w:rsid w:val="1C115158"/>
    <w:rsid w:val="1C52EA02"/>
    <w:rsid w:val="1C6662EA"/>
    <w:rsid w:val="1C8E35C6"/>
    <w:rsid w:val="1CA8775F"/>
    <w:rsid w:val="1CC47F17"/>
    <w:rsid w:val="1CD2E74A"/>
    <w:rsid w:val="1CE631E5"/>
    <w:rsid w:val="1CEFDC03"/>
    <w:rsid w:val="1CFB968E"/>
    <w:rsid w:val="1D09C949"/>
    <w:rsid w:val="1D1A7664"/>
    <w:rsid w:val="1D24C28E"/>
    <w:rsid w:val="1D39C6E4"/>
    <w:rsid w:val="1D5CB31F"/>
    <w:rsid w:val="1D93A1EC"/>
    <w:rsid w:val="1D95D7DD"/>
    <w:rsid w:val="1DC0DB58"/>
    <w:rsid w:val="1DC535EC"/>
    <w:rsid w:val="1DC771EA"/>
    <w:rsid w:val="1E34A637"/>
    <w:rsid w:val="1E58F8DD"/>
    <w:rsid w:val="1E8B6703"/>
    <w:rsid w:val="1E97720C"/>
    <w:rsid w:val="1ED28C8E"/>
    <w:rsid w:val="1EE0867C"/>
    <w:rsid w:val="1EEEA0B6"/>
    <w:rsid w:val="1EF3E640"/>
    <w:rsid w:val="1F0F2510"/>
    <w:rsid w:val="1F2DDD86"/>
    <w:rsid w:val="1F3FCD9B"/>
    <w:rsid w:val="1F408EB2"/>
    <w:rsid w:val="1F622520"/>
    <w:rsid w:val="1F728462"/>
    <w:rsid w:val="1F93CCF5"/>
    <w:rsid w:val="1FA0D438"/>
    <w:rsid w:val="1FA59317"/>
    <w:rsid w:val="1FB58CDF"/>
    <w:rsid w:val="1FBCBF14"/>
    <w:rsid w:val="1FC021EC"/>
    <w:rsid w:val="1FD704D9"/>
    <w:rsid w:val="1FE6D766"/>
    <w:rsid w:val="200E0923"/>
    <w:rsid w:val="20129115"/>
    <w:rsid w:val="20188569"/>
    <w:rsid w:val="2038BF5B"/>
    <w:rsid w:val="203906E1"/>
    <w:rsid w:val="204ED7CE"/>
    <w:rsid w:val="20AF4447"/>
    <w:rsid w:val="212187D8"/>
    <w:rsid w:val="21244C61"/>
    <w:rsid w:val="2136BA97"/>
    <w:rsid w:val="21376699"/>
    <w:rsid w:val="2137AC01"/>
    <w:rsid w:val="2177001C"/>
    <w:rsid w:val="21B67C76"/>
    <w:rsid w:val="21CBF3FE"/>
    <w:rsid w:val="21D325FA"/>
    <w:rsid w:val="21DB1CBC"/>
    <w:rsid w:val="221EC92E"/>
    <w:rsid w:val="223F9A46"/>
    <w:rsid w:val="2253CE7B"/>
    <w:rsid w:val="22576B66"/>
    <w:rsid w:val="225AF929"/>
    <w:rsid w:val="225F2AD7"/>
    <w:rsid w:val="2260C871"/>
    <w:rsid w:val="22AED2D8"/>
    <w:rsid w:val="22BCF71D"/>
    <w:rsid w:val="230CF0A2"/>
    <w:rsid w:val="2331B60E"/>
    <w:rsid w:val="233E5C87"/>
    <w:rsid w:val="23544882"/>
    <w:rsid w:val="23A73A24"/>
    <w:rsid w:val="23A81E7C"/>
    <w:rsid w:val="23B89D4D"/>
    <w:rsid w:val="23C9AB88"/>
    <w:rsid w:val="23D73125"/>
    <w:rsid w:val="23DCD108"/>
    <w:rsid w:val="23FE4A23"/>
    <w:rsid w:val="24098FEB"/>
    <w:rsid w:val="241872F0"/>
    <w:rsid w:val="241AFFAB"/>
    <w:rsid w:val="24261866"/>
    <w:rsid w:val="24303744"/>
    <w:rsid w:val="244CCDC4"/>
    <w:rsid w:val="245DB5CA"/>
    <w:rsid w:val="245F6775"/>
    <w:rsid w:val="24654405"/>
    <w:rsid w:val="248B316B"/>
    <w:rsid w:val="24AA44C0"/>
    <w:rsid w:val="24B12D20"/>
    <w:rsid w:val="250F0B52"/>
    <w:rsid w:val="254E40C8"/>
    <w:rsid w:val="2557D2DF"/>
    <w:rsid w:val="256518A5"/>
    <w:rsid w:val="25706BE2"/>
    <w:rsid w:val="25746030"/>
    <w:rsid w:val="258EE0BB"/>
    <w:rsid w:val="25904459"/>
    <w:rsid w:val="2604DB43"/>
    <w:rsid w:val="260A55EA"/>
    <w:rsid w:val="261D17B9"/>
    <w:rsid w:val="26202116"/>
    <w:rsid w:val="2639A59C"/>
    <w:rsid w:val="2656059F"/>
    <w:rsid w:val="266AE794"/>
    <w:rsid w:val="26B2C6B1"/>
    <w:rsid w:val="26B4385D"/>
    <w:rsid w:val="26C1F6D8"/>
    <w:rsid w:val="26CBD706"/>
    <w:rsid w:val="26ED723A"/>
    <w:rsid w:val="26F87038"/>
    <w:rsid w:val="2751B130"/>
    <w:rsid w:val="277F30CE"/>
    <w:rsid w:val="279342F4"/>
    <w:rsid w:val="27BE419E"/>
    <w:rsid w:val="27CE1FDB"/>
    <w:rsid w:val="27CE5F56"/>
    <w:rsid w:val="27E7BD25"/>
    <w:rsid w:val="27FE6C3C"/>
    <w:rsid w:val="283F85AE"/>
    <w:rsid w:val="2853F0D1"/>
    <w:rsid w:val="2855A9BD"/>
    <w:rsid w:val="2893ADF2"/>
    <w:rsid w:val="28E68053"/>
    <w:rsid w:val="290F75C3"/>
    <w:rsid w:val="291BFBE7"/>
    <w:rsid w:val="2924FCA1"/>
    <w:rsid w:val="293B1060"/>
    <w:rsid w:val="294EE387"/>
    <w:rsid w:val="299560D4"/>
    <w:rsid w:val="299E553E"/>
    <w:rsid w:val="29BE97C7"/>
    <w:rsid w:val="29DBA8AF"/>
    <w:rsid w:val="29E91117"/>
    <w:rsid w:val="29FE5927"/>
    <w:rsid w:val="2A1952CC"/>
    <w:rsid w:val="2A2A854C"/>
    <w:rsid w:val="2A2E1AED"/>
    <w:rsid w:val="2A34C0C3"/>
    <w:rsid w:val="2A449186"/>
    <w:rsid w:val="2A4CDC80"/>
    <w:rsid w:val="2A6EE155"/>
    <w:rsid w:val="2A7F5B3C"/>
    <w:rsid w:val="2A83AA79"/>
    <w:rsid w:val="2AB406B1"/>
    <w:rsid w:val="2AE63C7D"/>
    <w:rsid w:val="2B05144F"/>
    <w:rsid w:val="2B2A9D4A"/>
    <w:rsid w:val="2B47796D"/>
    <w:rsid w:val="2B6F09D9"/>
    <w:rsid w:val="2B879466"/>
    <w:rsid w:val="2BDD1B95"/>
    <w:rsid w:val="2BEB17E6"/>
    <w:rsid w:val="2BF44378"/>
    <w:rsid w:val="2C0A290C"/>
    <w:rsid w:val="2C2E1F3A"/>
    <w:rsid w:val="2C4AC84D"/>
    <w:rsid w:val="2C882CEF"/>
    <w:rsid w:val="2C9EEF99"/>
    <w:rsid w:val="2CB557C1"/>
    <w:rsid w:val="2CB9EE94"/>
    <w:rsid w:val="2CE14592"/>
    <w:rsid w:val="2D1EEBCA"/>
    <w:rsid w:val="2D30C5FB"/>
    <w:rsid w:val="2D43CCA6"/>
    <w:rsid w:val="2D4B42AC"/>
    <w:rsid w:val="2D4DEA7B"/>
    <w:rsid w:val="2D6C9A98"/>
    <w:rsid w:val="2D89D0DE"/>
    <w:rsid w:val="2D98B802"/>
    <w:rsid w:val="2DC7171D"/>
    <w:rsid w:val="2DFFED0E"/>
    <w:rsid w:val="2E08EC29"/>
    <w:rsid w:val="2E189E23"/>
    <w:rsid w:val="2E1E4210"/>
    <w:rsid w:val="2E416CE4"/>
    <w:rsid w:val="2E643697"/>
    <w:rsid w:val="2E712547"/>
    <w:rsid w:val="2E764221"/>
    <w:rsid w:val="2EDA6A76"/>
    <w:rsid w:val="2EE493E2"/>
    <w:rsid w:val="2F15CBA4"/>
    <w:rsid w:val="2F2738B5"/>
    <w:rsid w:val="2F27D381"/>
    <w:rsid w:val="2F3D911C"/>
    <w:rsid w:val="2F78755D"/>
    <w:rsid w:val="2F97899C"/>
    <w:rsid w:val="2FC331CD"/>
    <w:rsid w:val="2FD5DCDC"/>
    <w:rsid w:val="2FDB236E"/>
    <w:rsid w:val="300CA297"/>
    <w:rsid w:val="30871D26"/>
    <w:rsid w:val="30A6FB83"/>
    <w:rsid w:val="30C8A447"/>
    <w:rsid w:val="311C39D1"/>
    <w:rsid w:val="3137DE17"/>
    <w:rsid w:val="3181A826"/>
    <w:rsid w:val="318206C1"/>
    <w:rsid w:val="3190A90B"/>
    <w:rsid w:val="31957D79"/>
    <w:rsid w:val="319CF51C"/>
    <w:rsid w:val="31B9352B"/>
    <w:rsid w:val="31BF471A"/>
    <w:rsid w:val="31C5C7E1"/>
    <w:rsid w:val="31FBAC71"/>
    <w:rsid w:val="32205200"/>
    <w:rsid w:val="32AAAD50"/>
    <w:rsid w:val="32B50CD2"/>
    <w:rsid w:val="32BB0A22"/>
    <w:rsid w:val="32C2EB8C"/>
    <w:rsid w:val="33299680"/>
    <w:rsid w:val="33321C00"/>
    <w:rsid w:val="33752ECA"/>
    <w:rsid w:val="33770F12"/>
    <w:rsid w:val="33816F6C"/>
    <w:rsid w:val="33D867EE"/>
    <w:rsid w:val="33E0C7BA"/>
    <w:rsid w:val="3402F5D3"/>
    <w:rsid w:val="343BBA5A"/>
    <w:rsid w:val="344D58F9"/>
    <w:rsid w:val="3459496B"/>
    <w:rsid w:val="3467D308"/>
    <w:rsid w:val="349E3D1E"/>
    <w:rsid w:val="34A6F77C"/>
    <w:rsid w:val="34CA69C4"/>
    <w:rsid w:val="34E42678"/>
    <w:rsid w:val="34E8FABE"/>
    <w:rsid w:val="34E97E8E"/>
    <w:rsid w:val="34F33829"/>
    <w:rsid w:val="35381765"/>
    <w:rsid w:val="353E8607"/>
    <w:rsid w:val="35480D21"/>
    <w:rsid w:val="354A50C1"/>
    <w:rsid w:val="355749F2"/>
    <w:rsid w:val="3584DDF3"/>
    <w:rsid w:val="35B9FCEC"/>
    <w:rsid w:val="35DC8E47"/>
    <w:rsid w:val="35DF9691"/>
    <w:rsid w:val="363DFEC7"/>
    <w:rsid w:val="367A121E"/>
    <w:rsid w:val="368AC70F"/>
    <w:rsid w:val="36B7A6F2"/>
    <w:rsid w:val="36BA1BFD"/>
    <w:rsid w:val="36BFA84F"/>
    <w:rsid w:val="36D44B61"/>
    <w:rsid w:val="36FCBB18"/>
    <w:rsid w:val="37112F7A"/>
    <w:rsid w:val="3721460F"/>
    <w:rsid w:val="372A42B1"/>
    <w:rsid w:val="3768748A"/>
    <w:rsid w:val="37A6C00A"/>
    <w:rsid w:val="37AA36D6"/>
    <w:rsid w:val="37CB8130"/>
    <w:rsid w:val="3806A3AA"/>
    <w:rsid w:val="380F3063"/>
    <w:rsid w:val="380F92B0"/>
    <w:rsid w:val="3830E532"/>
    <w:rsid w:val="3883352F"/>
    <w:rsid w:val="390D5588"/>
    <w:rsid w:val="396D5D9B"/>
    <w:rsid w:val="3978042C"/>
    <w:rsid w:val="3979684B"/>
    <w:rsid w:val="398BB287"/>
    <w:rsid w:val="39903799"/>
    <w:rsid w:val="3998603E"/>
    <w:rsid w:val="39A3D9C3"/>
    <w:rsid w:val="39AC55E6"/>
    <w:rsid w:val="39D184A5"/>
    <w:rsid w:val="3A0F4B80"/>
    <w:rsid w:val="3A2688CD"/>
    <w:rsid w:val="3A4DD202"/>
    <w:rsid w:val="3A742CEE"/>
    <w:rsid w:val="3A8F3B7B"/>
    <w:rsid w:val="3AC81348"/>
    <w:rsid w:val="3AE765DC"/>
    <w:rsid w:val="3B1D0C1C"/>
    <w:rsid w:val="3B293622"/>
    <w:rsid w:val="3B2C0975"/>
    <w:rsid w:val="3B484954"/>
    <w:rsid w:val="3B8AC5D0"/>
    <w:rsid w:val="3BA4431E"/>
    <w:rsid w:val="3BB07137"/>
    <w:rsid w:val="3BD7282A"/>
    <w:rsid w:val="3BE35266"/>
    <w:rsid w:val="3C5727F3"/>
    <w:rsid w:val="3C640560"/>
    <w:rsid w:val="3C9078C9"/>
    <w:rsid w:val="3CDCE455"/>
    <w:rsid w:val="3D09A440"/>
    <w:rsid w:val="3D30420D"/>
    <w:rsid w:val="3D313FC3"/>
    <w:rsid w:val="3D5C5B3E"/>
    <w:rsid w:val="3D6A6D3F"/>
    <w:rsid w:val="3D6C30AF"/>
    <w:rsid w:val="3D93C511"/>
    <w:rsid w:val="3DA83400"/>
    <w:rsid w:val="3DBDA780"/>
    <w:rsid w:val="3DD72BC9"/>
    <w:rsid w:val="3DE8938E"/>
    <w:rsid w:val="3DF8137A"/>
    <w:rsid w:val="3E060C6B"/>
    <w:rsid w:val="3E191386"/>
    <w:rsid w:val="3E192379"/>
    <w:rsid w:val="3E7BCD6E"/>
    <w:rsid w:val="3E8F8E6E"/>
    <w:rsid w:val="3E935C0D"/>
    <w:rsid w:val="3EC4CADA"/>
    <w:rsid w:val="3ECF3BE4"/>
    <w:rsid w:val="3EE76865"/>
    <w:rsid w:val="3EF13260"/>
    <w:rsid w:val="3EFF650D"/>
    <w:rsid w:val="3F8B4885"/>
    <w:rsid w:val="3FA2D692"/>
    <w:rsid w:val="3FCDBFF7"/>
    <w:rsid w:val="3FEF7781"/>
    <w:rsid w:val="401C31C3"/>
    <w:rsid w:val="402A774C"/>
    <w:rsid w:val="407C0212"/>
    <w:rsid w:val="408A4D1C"/>
    <w:rsid w:val="408D72B8"/>
    <w:rsid w:val="408EE556"/>
    <w:rsid w:val="409F235F"/>
    <w:rsid w:val="40B33599"/>
    <w:rsid w:val="40DEC6C2"/>
    <w:rsid w:val="41253F8E"/>
    <w:rsid w:val="4126064A"/>
    <w:rsid w:val="413354ED"/>
    <w:rsid w:val="418A0AF7"/>
    <w:rsid w:val="41984F40"/>
    <w:rsid w:val="41E78C1D"/>
    <w:rsid w:val="421C43FF"/>
    <w:rsid w:val="421C71E7"/>
    <w:rsid w:val="4226DCFC"/>
    <w:rsid w:val="423F76C6"/>
    <w:rsid w:val="42748079"/>
    <w:rsid w:val="427D67AF"/>
    <w:rsid w:val="4280EE72"/>
    <w:rsid w:val="4285D49E"/>
    <w:rsid w:val="429C78D0"/>
    <w:rsid w:val="42C11508"/>
    <w:rsid w:val="42F88031"/>
    <w:rsid w:val="430263A5"/>
    <w:rsid w:val="4313741F"/>
    <w:rsid w:val="434753EF"/>
    <w:rsid w:val="4354BECA"/>
    <w:rsid w:val="438F30EA"/>
    <w:rsid w:val="43D307C0"/>
    <w:rsid w:val="43F2D20D"/>
    <w:rsid w:val="44765DB8"/>
    <w:rsid w:val="44CE5E4E"/>
    <w:rsid w:val="44D66017"/>
    <w:rsid w:val="4513B71F"/>
    <w:rsid w:val="4523FDD1"/>
    <w:rsid w:val="457D396C"/>
    <w:rsid w:val="4594E8EE"/>
    <w:rsid w:val="45A2825D"/>
    <w:rsid w:val="45A79F38"/>
    <w:rsid w:val="45BAAEE6"/>
    <w:rsid w:val="45F9B042"/>
    <w:rsid w:val="46135C4D"/>
    <w:rsid w:val="46164A9C"/>
    <w:rsid w:val="4616DA12"/>
    <w:rsid w:val="466DD14D"/>
    <w:rsid w:val="4681E424"/>
    <w:rsid w:val="46D550B1"/>
    <w:rsid w:val="46F6A38C"/>
    <w:rsid w:val="4722716B"/>
    <w:rsid w:val="47342A06"/>
    <w:rsid w:val="47437AE7"/>
    <w:rsid w:val="47618ED4"/>
    <w:rsid w:val="479C4EAC"/>
    <w:rsid w:val="47B70F0E"/>
    <w:rsid w:val="47BC0E3F"/>
    <w:rsid w:val="47F14592"/>
    <w:rsid w:val="4815C4E5"/>
    <w:rsid w:val="481D473D"/>
    <w:rsid w:val="48207FF0"/>
    <w:rsid w:val="488990A6"/>
    <w:rsid w:val="489704BA"/>
    <w:rsid w:val="48D5465E"/>
    <w:rsid w:val="48DCFC84"/>
    <w:rsid w:val="49465F13"/>
    <w:rsid w:val="495230B3"/>
    <w:rsid w:val="4968CBC5"/>
    <w:rsid w:val="49762CFB"/>
    <w:rsid w:val="498CCE50"/>
    <w:rsid w:val="498F787E"/>
    <w:rsid w:val="499C7169"/>
    <w:rsid w:val="499DE486"/>
    <w:rsid w:val="49B61D58"/>
    <w:rsid w:val="49CF33C1"/>
    <w:rsid w:val="49DF072A"/>
    <w:rsid w:val="49EDA33F"/>
    <w:rsid w:val="49F190AC"/>
    <w:rsid w:val="4A0982EB"/>
    <w:rsid w:val="4A477BA5"/>
    <w:rsid w:val="4A7E11FC"/>
    <w:rsid w:val="4A884112"/>
    <w:rsid w:val="4AB00796"/>
    <w:rsid w:val="4ABCE878"/>
    <w:rsid w:val="4AC3EAF7"/>
    <w:rsid w:val="4B26BEDE"/>
    <w:rsid w:val="4B47E7D4"/>
    <w:rsid w:val="4B6BF48E"/>
    <w:rsid w:val="4B7546A3"/>
    <w:rsid w:val="4B8642DB"/>
    <w:rsid w:val="4BA2DA7E"/>
    <w:rsid w:val="4BB5E0E9"/>
    <w:rsid w:val="4BB980D7"/>
    <w:rsid w:val="4BBE1412"/>
    <w:rsid w:val="4BCB1A5A"/>
    <w:rsid w:val="4BDF4907"/>
    <w:rsid w:val="4C1C7BA9"/>
    <w:rsid w:val="4C383277"/>
    <w:rsid w:val="4C3C1F48"/>
    <w:rsid w:val="4CA70609"/>
    <w:rsid w:val="4CBC7DAF"/>
    <w:rsid w:val="4D068309"/>
    <w:rsid w:val="4D188E91"/>
    <w:rsid w:val="4D277A75"/>
    <w:rsid w:val="4D349844"/>
    <w:rsid w:val="4D3CBF82"/>
    <w:rsid w:val="4D77DC5B"/>
    <w:rsid w:val="4DA159AB"/>
    <w:rsid w:val="4DBFF04A"/>
    <w:rsid w:val="4DCFDFA4"/>
    <w:rsid w:val="4DE0C1D1"/>
    <w:rsid w:val="4E0FE328"/>
    <w:rsid w:val="4E15D349"/>
    <w:rsid w:val="4E2486F6"/>
    <w:rsid w:val="4E78072D"/>
    <w:rsid w:val="4E830D0E"/>
    <w:rsid w:val="4EACC0A0"/>
    <w:rsid w:val="4EC74DE6"/>
    <w:rsid w:val="4EE9CD89"/>
    <w:rsid w:val="4F1DE70C"/>
    <w:rsid w:val="4F43A638"/>
    <w:rsid w:val="4F7BF3BC"/>
    <w:rsid w:val="4F7DD383"/>
    <w:rsid w:val="4F837639"/>
    <w:rsid w:val="4FB60318"/>
    <w:rsid w:val="4FC47FDF"/>
    <w:rsid w:val="4FD20A12"/>
    <w:rsid w:val="4FD70418"/>
    <w:rsid w:val="50348F49"/>
    <w:rsid w:val="507E2517"/>
    <w:rsid w:val="50C5F093"/>
    <w:rsid w:val="50F29E8D"/>
    <w:rsid w:val="5161933F"/>
    <w:rsid w:val="51A6CF76"/>
    <w:rsid w:val="51AAEB3C"/>
    <w:rsid w:val="51B02C66"/>
    <w:rsid w:val="51B6799E"/>
    <w:rsid w:val="51E66084"/>
    <w:rsid w:val="51E78781"/>
    <w:rsid w:val="51FA9FA9"/>
    <w:rsid w:val="521CD24D"/>
    <w:rsid w:val="525A2444"/>
    <w:rsid w:val="526CE383"/>
    <w:rsid w:val="52788165"/>
    <w:rsid w:val="5290CF10"/>
    <w:rsid w:val="52A338F6"/>
    <w:rsid w:val="52A3AB19"/>
    <w:rsid w:val="52E06738"/>
    <w:rsid w:val="5321C5FA"/>
    <w:rsid w:val="5331935C"/>
    <w:rsid w:val="5367A04B"/>
    <w:rsid w:val="536B2F94"/>
    <w:rsid w:val="53B36F13"/>
    <w:rsid w:val="53CFCC5D"/>
    <w:rsid w:val="53D5B868"/>
    <w:rsid w:val="53D92A54"/>
    <w:rsid w:val="53E3E679"/>
    <w:rsid w:val="542F585C"/>
    <w:rsid w:val="5474912B"/>
    <w:rsid w:val="547783F6"/>
    <w:rsid w:val="54AF7C15"/>
    <w:rsid w:val="54D6446C"/>
    <w:rsid w:val="54DB064B"/>
    <w:rsid w:val="550CCE19"/>
    <w:rsid w:val="552E1F15"/>
    <w:rsid w:val="55AC326B"/>
    <w:rsid w:val="55D33830"/>
    <w:rsid w:val="55DC2A7D"/>
    <w:rsid w:val="55EBD2BA"/>
    <w:rsid w:val="5610479A"/>
    <w:rsid w:val="56191AAD"/>
    <w:rsid w:val="5627C0DA"/>
    <w:rsid w:val="56455576"/>
    <w:rsid w:val="565D0217"/>
    <w:rsid w:val="56A49EE8"/>
    <w:rsid w:val="56A80864"/>
    <w:rsid w:val="56BE2FBD"/>
    <w:rsid w:val="5705FB69"/>
    <w:rsid w:val="570D07CD"/>
    <w:rsid w:val="57117322"/>
    <w:rsid w:val="571C0C05"/>
    <w:rsid w:val="571DC70D"/>
    <w:rsid w:val="57DD9A1D"/>
    <w:rsid w:val="582BF3AB"/>
    <w:rsid w:val="582DD82E"/>
    <w:rsid w:val="5862CA05"/>
    <w:rsid w:val="587E9EC8"/>
    <w:rsid w:val="5890F82C"/>
    <w:rsid w:val="58A5B93A"/>
    <w:rsid w:val="58B95141"/>
    <w:rsid w:val="58CA3D06"/>
    <w:rsid w:val="58D56B84"/>
    <w:rsid w:val="58DF50BF"/>
    <w:rsid w:val="59110CB0"/>
    <w:rsid w:val="593B198B"/>
    <w:rsid w:val="595B2B21"/>
    <w:rsid w:val="595BB4D7"/>
    <w:rsid w:val="596CE75E"/>
    <w:rsid w:val="5994D7A6"/>
    <w:rsid w:val="599EEBE6"/>
    <w:rsid w:val="59D19F62"/>
    <w:rsid w:val="59FEF447"/>
    <w:rsid w:val="5A53178B"/>
    <w:rsid w:val="5A56E983"/>
    <w:rsid w:val="5A7537D3"/>
    <w:rsid w:val="5A7FF0EE"/>
    <w:rsid w:val="5AAFD3D6"/>
    <w:rsid w:val="5AAFF15A"/>
    <w:rsid w:val="5AC8029C"/>
    <w:rsid w:val="5AD03809"/>
    <w:rsid w:val="5AFA833D"/>
    <w:rsid w:val="5B21FC0A"/>
    <w:rsid w:val="5B424E99"/>
    <w:rsid w:val="5B436778"/>
    <w:rsid w:val="5B589D59"/>
    <w:rsid w:val="5B65264E"/>
    <w:rsid w:val="5B9034D2"/>
    <w:rsid w:val="5BB4EC3E"/>
    <w:rsid w:val="5BC830AE"/>
    <w:rsid w:val="5BE1C168"/>
    <w:rsid w:val="5C15AEAD"/>
    <w:rsid w:val="5C24560E"/>
    <w:rsid w:val="5C274EE4"/>
    <w:rsid w:val="5C358589"/>
    <w:rsid w:val="5C3728F5"/>
    <w:rsid w:val="5C3CA82E"/>
    <w:rsid w:val="5C5E1FF2"/>
    <w:rsid w:val="5C6C5606"/>
    <w:rsid w:val="5CC8CB37"/>
    <w:rsid w:val="5CEAC32F"/>
    <w:rsid w:val="5CF6EB57"/>
    <w:rsid w:val="5CFC0999"/>
    <w:rsid w:val="5D18CB74"/>
    <w:rsid w:val="5D3E4C93"/>
    <w:rsid w:val="5D517A1D"/>
    <w:rsid w:val="5D60C5A6"/>
    <w:rsid w:val="5D98B691"/>
    <w:rsid w:val="5DD22D64"/>
    <w:rsid w:val="5E00A3B0"/>
    <w:rsid w:val="5E5C601B"/>
    <w:rsid w:val="5E67F067"/>
    <w:rsid w:val="5EC00107"/>
    <w:rsid w:val="5EC19AB1"/>
    <w:rsid w:val="5EEA5161"/>
    <w:rsid w:val="5F12C6D4"/>
    <w:rsid w:val="5F349E96"/>
    <w:rsid w:val="5F39E01C"/>
    <w:rsid w:val="5F4148B4"/>
    <w:rsid w:val="5F4BDA54"/>
    <w:rsid w:val="5F584AEB"/>
    <w:rsid w:val="5F5CB403"/>
    <w:rsid w:val="5F7DC8AF"/>
    <w:rsid w:val="5F9DEFDC"/>
    <w:rsid w:val="5FA501C2"/>
    <w:rsid w:val="5FB2362B"/>
    <w:rsid w:val="5FB3CADB"/>
    <w:rsid w:val="5FB52FD9"/>
    <w:rsid w:val="5FBB8CA4"/>
    <w:rsid w:val="5FC0F5CC"/>
    <w:rsid w:val="603EDD9F"/>
    <w:rsid w:val="60615EA4"/>
    <w:rsid w:val="60956633"/>
    <w:rsid w:val="6097FC7F"/>
    <w:rsid w:val="60EB70FE"/>
    <w:rsid w:val="61251C09"/>
    <w:rsid w:val="612D55C2"/>
    <w:rsid w:val="61D735F7"/>
    <w:rsid w:val="625A410D"/>
    <w:rsid w:val="625EB1CC"/>
    <w:rsid w:val="625EFE47"/>
    <w:rsid w:val="6280B73B"/>
    <w:rsid w:val="62BDA408"/>
    <w:rsid w:val="62F27CF1"/>
    <w:rsid w:val="635D2498"/>
    <w:rsid w:val="6378EACB"/>
    <w:rsid w:val="63821D21"/>
    <w:rsid w:val="638D117F"/>
    <w:rsid w:val="638E1085"/>
    <w:rsid w:val="63A02D47"/>
    <w:rsid w:val="63A3D47F"/>
    <w:rsid w:val="63D608E0"/>
    <w:rsid w:val="6408B48F"/>
    <w:rsid w:val="64171F4B"/>
    <w:rsid w:val="6417DF0A"/>
    <w:rsid w:val="641AB698"/>
    <w:rsid w:val="6439A18F"/>
    <w:rsid w:val="643ABBCF"/>
    <w:rsid w:val="645A7748"/>
    <w:rsid w:val="6472488B"/>
    <w:rsid w:val="6480F8E4"/>
    <w:rsid w:val="649383DC"/>
    <w:rsid w:val="6496A142"/>
    <w:rsid w:val="64B1350D"/>
    <w:rsid w:val="64B2014F"/>
    <w:rsid w:val="64D2E21D"/>
    <w:rsid w:val="65ADBE25"/>
    <w:rsid w:val="65B0F5B6"/>
    <w:rsid w:val="65E11C54"/>
    <w:rsid w:val="6619601D"/>
    <w:rsid w:val="662ACDA2"/>
    <w:rsid w:val="66491708"/>
    <w:rsid w:val="664AB6AA"/>
    <w:rsid w:val="665F39B9"/>
    <w:rsid w:val="66714CB8"/>
    <w:rsid w:val="66A8D20E"/>
    <w:rsid w:val="66C8D74D"/>
    <w:rsid w:val="66EFEF0D"/>
    <w:rsid w:val="672322BE"/>
    <w:rsid w:val="67412070"/>
    <w:rsid w:val="6746A99D"/>
    <w:rsid w:val="67577AA3"/>
    <w:rsid w:val="678C59B7"/>
    <w:rsid w:val="678F3A5F"/>
    <w:rsid w:val="67F4CB19"/>
    <w:rsid w:val="67FEDD9D"/>
    <w:rsid w:val="680D0A71"/>
    <w:rsid w:val="6819649A"/>
    <w:rsid w:val="68463989"/>
    <w:rsid w:val="6863547D"/>
    <w:rsid w:val="686D215C"/>
    <w:rsid w:val="686F3A4E"/>
    <w:rsid w:val="68741DDB"/>
    <w:rsid w:val="687C1DF9"/>
    <w:rsid w:val="687DC236"/>
    <w:rsid w:val="6883CABA"/>
    <w:rsid w:val="68E238DE"/>
    <w:rsid w:val="68FA1611"/>
    <w:rsid w:val="690FBE44"/>
    <w:rsid w:val="691F8177"/>
    <w:rsid w:val="692E8ED7"/>
    <w:rsid w:val="692EA49D"/>
    <w:rsid w:val="6988DAF6"/>
    <w:rsid w:val="6991A27C"/>
    <w:rsid w:val="699847EE"/>
    <w:rsid w:val="69ACF02F"/>
    <w:rsid w:val="69B1DF20"/>
    <w:rsid w:val="69B9CBC6"/>
    <w:rsid w:val="69D5FD7E"/>
    <w:rsid w:val="6A0AEDD1"/>
    <w:rsid w:val="6A0D7B57"/>
    <w:rsid w:val="6A17FE11"/>
    <w:rsid w:val="6A2C364F"/>
    <w:rsid w:val="6A3CCF47"/>
    <w:rsid w:val="6A487BA8"/>
    <w:rsid w:val="6A6D16C2"/>
    <w:rsid w:val="6A87B639"/>
    <w:rsid w:val="6ABD351F"/>
    <w:rsid w:val="6AE5567B"/>
    <w:rsid w:val="6AE904C7"/>
    <w:rsid w:val="6B048EFF"/>
    <w:rsid w:val="6B19710A"/>
    <w:rsid w:val="6B260E32"/>
    <w:rsid w:val="6B535534"/>
    <w:rsid w:val="6BAF4BA7"/>
    <w:rsid w:val="6C3D78FC"/>
    <w:rsid w:val="6C5213C9"/>
    <w:rsid w:val="6C8FC0AD"/>
    <w:rsid w:val="6CE5C1BB"/>
    <w:rsid w:val="6CEF7C0B"/>
    <w:rsid w:val="6D159C4C"/>
    <w:rsid w:val="6D25E006"/>
    <w:rsid w:val="6D38F428"/>
    <w:rsid w:val="6D498A3F"/>
    <w:rsid w:val="6DAF42C5"/>
    <w:rsid w:val="6E06BE60"/>
    <w:rsid w:val="6E0BDDF3"/>
    <w:rsid w:val="6E57C322"/>
    <w:rsid w:val="6E60A41E"/>
    <w:rsid w:val="6E66E95B"/>
    <w:rsid w:val="6E7D3202"/>
    <w:rsid w:val="6E7FF053"/>
    <w:rsid w:val="6E80FFD7"/>
    <w:rsid w:val="6E855EF7"/>
    <w:rsid w:val="6E950781"/>
    <w:rsid w:val="6EB14B5C"/>
    <w:rsid w:val="6EB6B3B6"/>
    <w:rsid w:val="6EC6C73D"/>
    <w:rsid w:val="6EED6342"/>
    <w:rsid w:val="6EFCB8CF"/>
    <w:rsid w:val="6F14F62C"/>
    <w:rsid w:val="6F52BFB7"/>
    <w:rsid w:val="6F7CC77D"/>
    <w:rsid w:val="6FBD2E0C"/>
    <w:rsid w:val="6FCF25E4"/>
    <w:rsid w:val="6FDD2931"/>
    <w:rsid w:val="6FEFF7D4"/>
    <w:rsid w:val="7022063A"/>
    <w:rsid w:val="705E3837"/>
    <w:rsid w:val="706B42F8"/>
    <w:rsid w:val="70950650"/>
    <w:rsid w:val="70C07F67"/>
    <w:rsid w:val="70F60E34"/>
    <w:rsid w:val="70FDC158"/>
    <w:rsid w:val="713AD119"/>
    <w:rsid w:val="7142B742"/>
    <w:rsid w:val="715124C4"/>
    <w:rsid w:val="7167ECD7"/>
    <w:rsid w:val="716A28CE"/>
    <w:rsid w:val="7185080D"/>
    <w:rsid w:val="71889E90"/>
    <w:rsid w:val="71A7181F"/>
    <w:rsid w:val="71CDA036"/>
    <w:rsid w:val="71E342D5"/>
    <w:rsid w:val="7217AEA2"/>
    <w:rsid w:val="7238F4D6"/>
    <w:rsid w:val="723A95ED"/>
    <w:rsid w:val="72A869A4"/>
    <w:rsid w:val="72A95F1F"/>
    <w:rsid w:val="72B67D4D"/>
    <w:rsid w:val="72D58314"/>
    <w:rsid w:val="72E06FDD"/>
    <w:rsid w:val="72F2E2EA"/>
    <w:rsid w:val="73177629"/>
    <w:rsid w:val="7330EF5D"/>
    <w:rsid w:val="73651BDE"/>
    <w:rsid w:val="738335E6"/>
    <w:rsid w:val="73BDC8A0"/>
    <w:rsid w:val="73CEC679"/>
    <w:rsid w:val="73EEB2E5"/>
    <w:rsid w:val="73F886C2"/>
    <w:rsid w:val="74060960"/>
    <w:rsid w:val="7457B117"/>
    <w:rsid w:val="747099DA"/>
    <w:rsid w:val="747E6D09"/>
    <w:rsid w:val="7486C703"/>
    <w:rsid w:val="74A2F4A3"/>
    <w:rsid w:val="74A654AB"/>
    <w:rsid w:val="74BC2676"/>
    <w:rsid w:val="74C83DBF"/>
    <w:rsid w:val="74CC0488"/>
    <w:rsid w:val="74E6FF0D"/>
    <w:rsid w:val="74F54736"/>
    <w:rsid w:val="750B63BA"/>
    <w:rsid w:val="75289FD0"/>
    <w:rsid w:val="752DE55E"/>
    <w:rsid w:val="75649730"/>
    <w:rsid w:val="7565817C"/>
    <w:rsid w:val="758303E6"/>
    <w:rsid w:val="75B0DDBB"/>
    <w:rsid w:val="75D0EE88"/>
    <w:rsid w:val="75DCBF7A"/>
    <w:rsid w:val="75E5555C"/>
    <w:rsid w:val="75F50846"/>
    <w:rsid w:val="75F816D3"/>
    <w:rsid w:val="76909967"/>
    <w:rsid w:val="76C18564"/>
    <w:rsid w:val="76D04D94"/>
    <w:rsid w:val="76FAC982"/>
    <w:rsid w:val="771CB2B6"/>
    <w:rsid w:val="77206257"/>
    <w:rsid w:val="772A74F2"/>
    <w:rsid w:val="7748B425"/>
    <w:rsid w:val="7754231B"/>
    <w:rsid w:val="77A69FEB"/>
    <w:rsid w:val="77DDEA33"/>
    <w:rsid w:val="77EEE94D"/>
    <w:rsid w:val="780C22D5"/>
    <w:rsid w:val="781C17F4"/>
    <w:rsid w:val="786AC72D"/>
    <w:rsid w:val="7880FCAB"/>
    <w:rsid w:val="790447A9"/>
    <w:rsid w:val="791467FD"/>
    <w:rsid w:val="793D871B"/>
    <w:rsid w:val="794A87E1"/>
    <w:rsid w:val="797676BE"/>
    <w:rsid w:val="79A1A023"/>
    <w:rsid w:val="79B3E71F"/>
    <w:rsid w:val="7A2DD4BB"/>
    <w:rsid w:val="7A31DC23"/>
    <w:rsid w:val="7A44A58E"/>
    <w:rsid w:val="7A8192E1"/>
    <w:rsid w:val="7A8D41C9"/>
    <w:rsid w:val="7AA52A7D"/>
    <w:rsid w:val="7AC9DE62"/>
    <w:rsid w:val="7AE13F7E"/>
    <w:rsid w:val="7AEC33D6"/>
    <w:rsid w:val="7AFE84B4"/>
    <w:rsid w:val="7B18D4BE"/>
    <w:rsid w:val="7B25DEB1"/>
    <w:rsid w:val="7B4541A3"/>
    <w:rsid w:val="7B4D499A"/>
    <w:rsid w:val="7B5A9855"/>
    <w:rsid w:val="7BC0034B"/>
    <w:rsid w:val="7BC7841C"/>
    <w:rsid w:val="7BF687B7"/>
    <w:rsid w:val="7C23C4D3"/>
    <w:rsid w:val="7C2722AF"/>
    <w:rsid w:val="7C2F790F"/>
    <w:rsid w:val="7C342018"/>
    <w:rsid w:val="7C414C97"/>
    <w:rsid w:val="7C440AAF"/>
    <w:rsid w:val="7C7A0256"/>
    <w:rsid w:val="7C923569"/>
    <w:rsid w:val="7CB1D61A"/>
    <w:rsid w:val="7CDFA1A6"/>
    <w:rsid w:val="7CFD09E1"/>
    <w:rsid w:val="7D28C52A"/>
    <w:rsid w:val="7D62E275"/>
    <w:rsid w:val="7D7E08BE"/>
    <w:rsid w:val="7D8751AE"/>
    <w:rsid w:val="7D8998FC"/>
    <w:rsid w:val="7E0CD179"/>
    <w:rsid w:val="7E0DDF31"/>
    <w:rsid w:val="7E392718"/>
    <w:rsid w:val="7E3FA994"/>
    <w:rsid w:val="7E6DB434"/>
    <w:rsid w:val="7E78EE7B"/>
    <w:rsid w:val="7E8FD3F3"/>
    <w:rsid w:val="7EEE84DB"/>
    <w:rsid w:val="7EFCE1E5"/>
    <w:rsid w:val="7F1A1E81"/>
    <w:rsid w:val="7F20C42F"/>
    <w:rsid w:val="7F262989"/>
    <w:rsid w:val="7F58D463"/>
    <w:rsid w:val="7F61F19D"/>
    <w:rsid w:val="7F837878"/>
    <w:rsid w:val="7FA4305D"/>
    <w:rsid w:val="7FB58F7A"/>
    <w:rsid w:val="7FC2AA1E"/>
    <w:rsid w:val="7FC52DB4"/>
    <w:rsid w:val="7FE4897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09A4AFD"/>
  <w14:defaultImageDpi w14:val="0"/>
  <w15:docId w15:val="{6A391DCF-3727-4315-97E2-85D3E968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4"/>
        <w:szCs w:val="24"/>
        <w:lang w:val="es-ES" w:eastAsia="fr-CH"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2A61"/>
    <w:pPr>
      <w:spacing w:before="120" w:after="240"/>
      <w:jc w:val="both"/>
    </w:pPr>
    <w:rPr>
      <w:rFonts w:ascii="Tahoma" w:eastAsia="Times New Roman" w:hAnsi="Tahoma" w:cs="Tahoma"/>
      <w:sz w:val="22"/>
      <w:lang w:val="en-GB" w:eastAsia="en-US"/>
    </w:rPr>
  </w:style>
  <w:style w:type="paragraph" w:styleId="Heading1">
    <w:name w:val="heading 1"/>
    <w:basedOn w:val="Heading3"/>
    <w:next w:val="Normal"/>
    <w:link w:val="Heading1Char"/>
    <w:qFormat/>
    <w:rsid w:val="002160E2"/>
    <w:pPr>
      <w:spacing w:before="480"/>
      <w:outlineLvl w:val="0"/>
    </w:pPr>
    <w:rPr>
      <w:i w:val="0"/>
      <w:color w:val="114171" w:themeColor="accent1"/>
      <w:sz w:val="24"/>
    </w:rPr>
  </w:style>
  <w:style w:type="paragraph" w:styleId="Heading2">
    <w:name w:val="heading 2"/>
    <w:basedOn w:val="Heading11"/>
    <w:next w:val="Normal"/>
    <w:link w:val="Heading2Char"/>
    <w:unhideWhenUsed/>
    <w:qFormat/>
    <w:rsid w:val="00E149D8"/>
    <w:pPr>
      <w:numPr>
        <w:numId w:val="5"/>
      </w:numPr>
      <w:spacing w:before="320"/>
      <w:outlineLvl w:val="1"/>
    </w:pPr>
    <w:rPr>
      <w:rFonts w:ascii="Verdana" w:hAnsi="Verdana"/>
      <w:i w:val="0"/>
      <w:color w:val="858079" w:themeColor="accent4"/>
    </w:rPr>
  </w:style>
  <w:style w:type="paragraph" w:styleId="Heading3">
    <w:name w:val="heading 3"/>
    <w:basedOn w:val="Normal"/>
    <w:next w:val="Normal"/>
    <w:link w:val="Heading3Char"/>
    <w:unhideWhenUsed/>
    <w:qFormat/>
    <w:rsid w:val="008B09BE"/>
    <w:pPr>
      <w:keepNext/>
      <w:keepLines/>
      <w:spacing w:before="200"/>
      <w:outlineLvl w:val="2"/>
    </w:pPr>
    <w:rPr>
      <w:rFonts w:ascii="Verdana" w:eastAsiaTheme="majorEastAsia" w:hAnsi="Verdana"/>
      <w:b/>
      <w:bCs/>
      <w:i/>
    </w:rPr>
  </w:style>
  <w:style w:type="paragraph" w:styleId="Heading4">
    <w:name w:val="heading 4"/>
    <w:basedOn w:val="Normal"/>
    <w:next w:val="Normal"/>
    <w:link w:val="Heading4Char"/>
    <w:uiPriority w:val="9"/>
    <w:semiHidden/>
    <w:unhideWhenUsed/>
    <w:rsid w:val="005C0A36"/>
    <w:pPr>
      <w:keepNext/>
      <w:keepLines/>
      <w:spacing w:before="200"/>
      <w:outlineLvl w:val="3"/>
    </w:pPr>
    <w:rPr>
      <w:rFonts w:asciiTheme="majorHAnsi" w:eastAsiaTheme="majorEastAsia" w:hAnsiTheme="majorHAnsi"/>
      <w:b/>
      <w:bCs/>
      <w:i/>
      <w:iCs/>
      <w:color w:val="114171" w:themeColor="accent1"/>
    </w:rPr>
  </w:style>
  <w:style w:type="paragraph" w:styleId="Heading5">
    <w:name w:val="heading 5"/>
    <w:basedOn w:val="Normal"/>
    <w:next w:val="Normal"/>
    <w:link w:val="Heading5Char"/>
    <w:uiPriority w:val="9"/>
    <w:semiHidden/>
    <w:unhideWhenUsed/>
    <w:rsid w:val="005C0A36"/>
    <w:pPr>
      <w:keepNext/>
      <w:keepLines/>
      <w:spacing w:before="200"/>
      <w:outlineLvl w:val="4"/>
    </w:pPr>
    <w:rPr>
      <w:rFonts w:asciiTheme="majorHAnsi" w:eastAsiaTheme="majorEastAsia" w:hAnsiTheme="majorHAnsi"/>
      <w:color w:val="082038" w:themeColor="accent1" w:themeShade="7F"/>
    </w:rPr>
  </w:style>
  <w:style w:type="paragraph" w:styleId="Heading6">
    <w:name w:val="heading 6"/>
    <w:basedOn w:val="Normal"/>
    <w:next w:val="Normal"/>
    <w:link w:val="Heading6Char"/>
    <w:uiPriority w:val="9"/>
    <w:semiHidden/>
    <w:unhideWhenUsed/>
    <w:qFormat/>
    <w:rsid w:val="005C0A36"/>
    <w:pPr>
      <w:keepNext/>
      <w:keepLines/>
      <w:spacing w:before="200"/>
      <w:outlineLvl w:val="5"/>
    </w:pPr>
    <w:rPr>
      <w:rFonts w:asciiTheme="majorHAnsi" w:eastAsiaTheme="majorEastAsia" w:hAnsiTheme="majorHAnsi"/>
      <w:i/>
      <w:iCs/>
      <w:color w:val="082038" w:themeColor="accent1" w:themeShade="7F"/>
    </w:rPr>
  </w:style>
  <w:style w:type="paragraph" w:styleId="Heading7">
    <w:name w:val="heading 7"/>
    <w:basedOn w:val="Normal"/>
    <w:next w:val="Normal"/>
    <w:link w:val="Heading7Char"/>
    <w:uiPriority w:val="9"/>
    <w:semiHidden/>
    <w:unhideWhenUsed/>
    <w:rsid w:val="005C0A36"/>
    <w:pPr>
      <w:keepNext/>
      <w:keepLines/>
      <w:spacing w:before="200"/>
      <w:outlineLvl w:val="6"/>
    </w:pPr>
    <w:rPr>
      <w:rFonts w:asciiTheme="majorHAnsi" w:eastAsiaTheme="majorEastAsia" w:hAnsiTheme="majorHAnsi"/>
      <w:i/>
      <w:iCs/>
      <w:color w:val="58535B" w:themeColor="text1" w:themeTint="BF"/>
    </w:rPr>
  </w:style>
  <w:style w:type="paragraph" w:styleId="Heading8">
    <w:name w:val="heading 8"/>
    <w:basedOn w:val="Normal"/>
    <w:next w:val="Normal"/>
    <w:link w:val="Heading8Char"/>
    <w:uiPriority w:val="9"/>
    <w:semiHidden/>
    <w:unhideWhenUsed/>
    <w:rsid w:val="005C0A36"/>
    <w:pPr>
      <w:keepNext/>
      <w:keepLines/>
      <w:spacing w:before="200"/>
      <w:outlineLvl w:val="7"/>
    </w:pPr>
    <w:rPr>
      <w:rFonts w:asciiTheme="majorHAnsi" w:eastAsiaTheme="majorEastAsia" w:hAnsiTheme="majorHAnsi"/>
      <w:color w:val="58535B" w:themeColor="text1" w:themeTint="BF"/>
      <w:sz w:val="20"/>
      <w:szCs w:val="20"/>
    </w:rPr>
  </w:style>
  <w:style w:type="paragraph" w:styleId="Heading9">
    <w:name w:val="heading 9"/>
    <w:basedOn w:val="Normal"/>
    <w:next w:val="Normal"/>
    <w:link w:val="Heading9Char"/>
    <w:uiPriority w:val="9"/>
    <w:semiHidden/>
    <w:unhideWhenUsed/>
    <w:rsid w:val="005C0A36"/>
    <w:pPr>
      <w:keepNext/>
      <w:keepLines/>
      <w:spacing w:before="200"/>
      <w:outlineLvl w:val="8"/>
    </w:pPr>
    <w:rPr>
      <w:rFonts w:asciiTheme="majorHAnsi" w:eastAsiaTheme="majorEastAsia" w:hAnsiTheme="majorHAnsi"/>
      <w:i/>
      <w:iCs/>
      <w:color w:val="58535B"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160E2"/>
    <w:rPr>
      <w:rFonts w:ascii="Verdana" w:eastAsiaTheme="majorEastAsia" w:hAnsi="Verdana" w:cs="Tahoma"/>
      <w:b/>
      <w:bCs/>
      <w:color w:val="114171" w:themeColor="accent1"/>
      <w:lang w:val="en-GB" w:eastAsia="en-US"/>
    </w:rPr>
  </w:style>
  <w:style w:type="character" w:customStyle="1" w:styleId="Heading2Char">
    <w:name w:val="Heading 2 Char"/>
    <w:basedOn w:val="DefaultParagraphFont"/>
    <w:link w:val="Heading2"/>
    <w:locked/>
    <w:rsid w:val="00E149D8"/>
    <w:rPr>
      <w:rFonts w:ascii="Verdana" w:eastAsiaTheme="majorEastAsia" w:hAnsi="Verdana" w:cs="Tahoma"/>
      <w:b/>
      <w:bCs/>
      <w:color w:val="858079" w:themeColor="accent4"/>
      <w:lang w:val="en-GB" w:eastAsia="en-US"/>
    </w:rPr>
  </w:style>
  <w:style w:type="character" w:customStyle="1" w:styleId="Heading3Char">
    <w:name w:val="Heading 3 Char"/>
    <w:basedOn w:val="DefaultParagraphFont"/>
    <w:link w:val="Heading3"/>
    <w:locked/>
    <w:rsid w:val="008B09BE"/>
    <w:rPr>
      <w:rFonts w:ascii="Verdana" w:eastAsiaTheme="majorEastAsia" w:hAnsi="Verdana" w:cs="Tahoma"/>
      <w:b/>
      <w:bCs/>
      <w:i/>
      <w:sz w:val="22"/>
      <w:lang w:val="en-GB" w:eastAsia="en-US"/>
    </w:rPr>
  </w:style>
  <w:style w:type="character" w:customStyle="1" w:styleId="Heading4Char">
    <w:name w:val="Heading 4 Char"/>
    <w:basedOn w:val="DefaultParagraphFont"/>
    <w:link w:val="Heading4"/>
    <w:uiPriority w:val="9"/>
    <w:semiHidden/>
    <w:locked/>
    <w:rsid w:val="005C0A36"/>
    <w:rPr>
      <w:rFonts w:asciiTheme="majorHAnsi" w:eastAsiaTheme="majorEastAsia" w:hAnsiTheme="majorHAnsi" w:cs="Times New Roman"/>
      <w:b/>
      <w:bCs/>
      <w:i/>
      <w:iCs/>
      <w:color w:val="114171" w:themeColor="accent1"/>
      <w:sz w:val="22"/>
      <w:szCs w:val="22"/>
      <w:lang w:val="en-GB" w:eastAsia="de-DE"/>
    </w:rPr>
  </w:style>
  <w:style w:type="character" w:customStyle="1" w:styleId="Heading5Char">
    <w:name w:val="Heading 5 Char"/>
    <w:basedOn w:val="DefaultParagraphFont"/>
    <w:link w:val="Heading5"/>
    <w:uiPriority w:val="9"/>
    <w:semiHidden/>
    <w:locked/>
    <w:rsid w:val="005C0A36"/>
    <w:rPr>
      <w:rFonts w:asciiTheme="majorHAnsi" w:eastAsiaTheme="majorEastAsia" w:hAnsiTheme="majorHAnsi" w:cs="Times New Roman"/>
      <w:color w:val="082038" w:themeColor="accent1" w:themeShade="7F"/>
      <w:sz w:val="22"/>
      <w:szCs w:val="22"/>
      <w:lang w:val="en-GB" w:eastAsia="de-DE"/>
    </w:rPr>
  </w:style>
  <w:style w:type="character" w:customStyle="1" w:styleId="Heading6Char">
    <w:name w:val="Heading 6 Char"/>
    <w:basedOn w:val="DefaultParagraphFont"/>
    <w:link w:val="Heading6"/>
    <w:uiPriority w:val="9"/>
    <w:semiHidden/>
    <w:locked/>
    <w:rsid w:val="005C0A36"/>
    <w:rPr>
      <w:rFonts w:asciiTheme="majorHAnsi" w:eastAsiaTheme="majorEastAsia" w:hAnsiTheme="majorHAnsi" w:cs="Times New Roman"/>
      <w:i/>
      <w:iCs/>
      <w:color w:val="082038" w:themeColor="accent1" w:themeShade="7F"/>
      <w:sz w:val="22"/>
      <w:szCs w:val="22"/>
      <w:lang w:val="en-GB" w:eastAsia="de-DE"/>
    </w:rPr>
  </w:style>
  <w:style w:type="character" w:customStyle="1" w:styleId="Heading7Char">
    <w:name w:val="Heading 7 Char"/>
    <w:basedOn w:val="DefaultParagraphFont"/>
    <w:link w:val="Heading7"/>
    <w:uiPriority w:val="9"/>
    <w:semiHidden/>
    <w:locked/>
    <w:rsid w:val="005C0A36"/>
    <w:rPr>
      <w:rFonts w:asciiTheme="majorHAnsi" w:eastAsiaTheme="majorEastAsia" w:hAnsiTheme="majorHAnsi" w:cs="Times New Roman"/>
      <w:i/>
      <w:iCs/>
      <w:color w:val="58535B" w:themeColor="text1" w:themeTint="BF"/>
      <w:sz w:val="22"/>
      <w:szCs w:val="22"/>
      <w:lang w:val="en-GB" w:eastAsia="de-DE"/>
    </w:rPr>
  </w:style>
  <w:style w:type="character" w:customStyle="1" w:styleId="Heading8Char">
    <w:name w:val="Heading 8 Char"/>
    <w:basedOn w:val="DefaultParagraphFont"/>
    <w:link w:val="Heading8"/>
    <w:uiPriority w:val="9"/>
    <w:semiHidden/>
    <w:locked/>
    <w:rsid w:val="005C0A36"/>
    <w:rPr>
      <w:rFonts w:asciiTheme="majorHAnsi" w:eastAsiaTheme="majorEastAsia" w:hAnsiTheme="majorHAnsi" w:cs="Times New Roman"/>
      <w:color w:val="58535B" w:themeColor="text1" w:themeTint="BF"/>
      <w:sz w:val="20"/>
      <w:szCs w:val="20"/>
      <w:lang w:val="en-GB" w:eastAsia="de-DE"/>
    </w:rPr>
  </w:style>
  <w:style w:type="character" w:customStyle="1" w:styleId="Heading9Char">
    <w:name w:val="Heading 9 Char"/>
    <w:basedOn w:val="DefaultParagraphFont"/>
    <w:link w:val="Heading9"/>
    <w:uiPriority w:val="9"/>
    <w:semiHidden/>
    <w:locked/>
    <w:rsid w:val="005C0A36"/>
    <w:rPr>
      <w:rFonts w:asciiTheme="majorHAnsi" w:eastAsiaTheme="majorEastAsia" w:hAnsiTheme="majorHAnsi" w:cs="Times New Roman"/>
      <w:i/>
      <w:iCs/>
      <w:color w:val="58535B" w:themeColor="text1" w:themeTint="BF"/>
      <w:sz w:val="20"/>
      <w:szCs w:val="20"/>
      <w:lang w:val="en-GB" w:eastAsia="de-DE"/>
    </w:rPr>
  </w:style>
  <w:style w:type="paragraph" w:styleId="IntenseQuote">
    <w:name w:val="Intense Quote"/>
    <w:basedOn w:val="Citation1"/>
    <w:next w:val="Normal"/>
    <w:link w:val="IntenseQuoteChar"/>
    <w:uiPriority w:val="30"/>
    <w:rsid w:val="006A69FC"/>
    <w:rPr>
      <w:b/>
    </w:rPr>
  </w:style>
  <w:style w:type="character" w:customStyle="1" w:styleId="IntenseQuoteChar">
    <w:name w:val="Intense Quote Char"/>
    <w:basedOn w:val="DefaultParagraphFont"/>
    <w:link w:val="IntenseQuote"/>
    <w:uiPriority w:val="30"/>
    <w:locked/>
    <w:rsid w:val="006A69FC"/>
    <w:rPr>
      <w:rFonts w:ascii="Arial" w:hAnsi="Arial" w:cs="Bookman Old Style"/>
      <w:b/>
      <w:i/>
      <w:color w:val="857769" w:themeColor="background2" w:themeShade="80"/>
      <w:sz w:val="22"/>
      <w:szCs w:val="22"/>
      <w:lang w:val="en-GB" w:eastAsia="de-DE"/>
    </w:rPr>
  </w:style>
  <w:style w:type="paragraph" w:customStyle="1" w:styleId="Heading31">
    <w:name w:val="Heading 31"/>
    <w:basedOn w:val="Normal"/>
    <w:autoRedefine/>
    <w:rsid w:val="001F2245"/>
    <w:rPr>
      <w:rFonts w:asciiTheme="majorHAnsi" w:hAnsiTheme="majorHAnsi" w:cs="Calibri"/>
      <w:b/>
      <w:bCs/>
      <w:color w:val="F49243" w:themeColor="accent5"/>
      <w:sz w:val="25"/>
      <w:szCs w:val="25"/>
    </w:rPr>
  </w:style>
  <w:style w:type="paragraph" w:customStyle="1" w:styleId="Heading41">
    <w:name w:val="Heading 41"/>
    <w:basedOn w:val="Normal"/>
    <w:rsid w:val="001F2245"/>
    <w:pPr>
      <w:spacing w:before="200"/>
    </w:pPr>
    <w:rPr>
      <w:b/>
      <w:bCs/>
      <w:color w:val="F49243" w:themeColor="accent5"/>
    </w:rPr>
  </w:style>
  <w:style w:type="paragraph" w:customStyle="1" w:styleId="Heading11">
    <w:name w:val="Heading 11"/>
    <w:basedOn w:val="Heading3"/>
    <w:next w:val="Normal"/>
    <w:rsid w:val="00DE4B8F"/>
    <w:rPr>
      <w:rFonts w:ascii="Tahoma" w:hAnsi="Tahoma"/>
      <w:sz w:val="24"/>
    </w:rPr>
  </w:style>
  <w:style w:type="paragraph" w:customStyle="1" w:styleId="BulletLevel2">
    <w:name w:val="Bullet Level 2"/>
    <w:basedOn w:val="Normal"/>
    <w:next w:val="Normal"/>
    <w:qFormat/>
    <w:rsid w:val="00B9519D"/>
    <w:pPr>
      <w:numPr>
        <w:numId w:val="1"/>
      </w:numPr>
      <w:spacing w:after="120"/>
    </w:pPr>
    <w:rPr>
      <w:lang w:eastAsia="fr-FR"/>
    </w:rPr>
  </w:style>
  <w:style w:type="paragraph" w:customStyle="1" w:styleId="Heading21">
    <w:name w:val="Heading 21"/>
    <w:basedOn w:val="Normal"/>
    <w:next w:val="Normal"/>
    <w:rsid w:val="001F2245"/>
    <w:pPr>
      <w:spacing w:before="320"/>
    </w:pPr>
    <w:rPr>
      <w:rFonts w:asciiTheme="majorHAnsi" w:hAnsiTheme="majorHAnsi" w:cs="Calibri"/>
      <w:b/>
      <w:bCs/>
      <w:color w:val="F49243" w:themeColor="accent5"/>
      <w:sz w:val="26"/>
      <w:szCs w:val="26"/>
    </w:rPr>
  </w:style>
  <w:style w:type="character" w:customStyle="1" w:styleId="Verticaldash">
    <w:name w:val="Vertical dash"/>
    <w:basedOn w:val="DefaultParagraphFont"/>
    <w:uiPriority w:val="1"/>
    <w:rsid w:val="005C0A36"/>
    <w:rPr>
      <w:rFonts w:cs="Times New Roman"/>
      <w:color w:val="A6A6A6" w:themeColor="background1" w:themeShade="A6"/>
      <w:w w:val="120"/>
      <w:position w:val="1"/>
      <w:sz w:val="15"/>
      <w:szCs w:val="15"/>
    </w:rPr>
  </w:style>
  <w:style w:type="paragraph" w:customStyle="1" w:styleId="BulletLevel1">
    <w:name w:val="Bullet Level 1"/>
    <w:basedOn w:val="Normal"/>
    <w:next w:val="Normal"/>
    <w:qFormat/>
    <w:rsid w:val="00A63F0B"/>
    <w:pPr>
      <w:numPr>
        <w:numId w:val="2"/>
      </w:numPr>
      <w:spacing w:before="240" w:after="120"/>
    </w:pPr>
  </w:style>
  <w:style w:type="paragraph" w:customStyle="1" w:styleId="PageNumber1">
    <w:name w:val="Page Number1"/>
    <w:basedOn w:val="Normal"/>
    <w:qFormat/>
    <w:rsid w:val="005C0A36"/>
    <w:pPr>
      <w:tabs>
        <w:tab w:val="right" w:pos="9000"/>
      </w:tabs>
    </w:pPr>
    <w:rPr>
      <w:rFonts w:cs="Verdana"/>
      <w:sz w:val="16"/>
      <w:szCs w:val="16"/>
    </w:rPr>
  </w:style>
  <w:style w:type="paragraph" w:customStyle="1" w:styleId="Citation1">
    <w:name w:val="Citation1"/>
    <w:basedOn w:val="Normal"/>
    <w:qFormat/>
    <w:rsid w:val="009A1C43"/>
    <w:pPr>
      <w:ind w:left="284"/>
    </w:pPr>
    <w:rPr>
      <w:i/>
      <w:iCs/>
      <w:color w:val="808080" w:themeColor="background1" w:themeShade="80"/>
    </w:rPr>
  </w:style>
  <w:style w:type="paragraph" w:customStyle="1" w:styleId="Numberedlist">
    <w:name w:val="Numbered list"/>
    <w:basedOn w:val="Normal"/>
    <w:next w:val="Normal"/>
    <w:qFormat/>
    <w:rsid w:val="005C0A36"/>
    <w:pPr>
      <w:numPr>
        <w:numId w:val="3"/>
      </w:numPr>
      <w:spacing w:after="120"/>
    </w:pPr>
    <w:rPr>
      <w:rFonts w:asciiTheme="majorHAnsi" w:hAnsiTheme="majorHAnsi" w:cs="Calibri"/>
    </w:rPr>
  </w:style>
  <w:style w:type="paragraph" w:styleId="Header">
    <w:name w:val="header"/>
    <w:basedOn w:val="Normal"/>
    <w:link w:val="HeaderChar"/>
    <w:rsid w:val="00EA79D7"/>
    <w:pPr>
      <w:tabs>
        <w:tab w:val="center" w:pos="4536"/>
        <w:tab w:val="right" w:pos="9072"/>
      </w:tabs>
    </w:pPr>
  </w:style>
  <w:style w:type="character" w:customStyle="1" w:styleId="HeaderChar">
    <w:name w:val="Header Char"/>
    <w:basedOn w:val="DefaultParagraphFont"/>
    <w:link w:val="Header"/>
    <w:locked/>
    <w:rsid w:val="00EA79D7"/>
    <w:rPr>
      <w:rFonts w:ascii="Arial" w:hAnsi="Arial" w:cs="Bookman Old Style"/>
      <w:sz w:val="22"/>
      <w:szCs w:val="22"/>
      <w:lang w:val="en-GB" w:eastAsia="de-DE"/>
    </w:rPr>
  </w:style>
  <w:style w:type="paragraph" w:styleId="Footer">
    <w:name w:val="footer"/>
    <w:basedOn w:val="Normal"/>
    <w:link w:val="FooterChar"/>
    <w:uiPriority w:val="99"/>
    <w:unhideWhenUsed/>
    <w:rsid w:val="00EA79D7"/>
    <w:pPr>
      <w:tabs>
        <w:tab w:val="center" w:pos="4536"/>
        <w:tab w:val="right" w:pos="9072"/>
      </w:tabs>
    </w:pPr>
  </w:style>
  <w:style w:type="character" w:customStyle="1" w:styleId="FooterChar">
    <w:name w:val="Footer Char"/>
    <w:basedOn w:val="DefaultParagraphFont"/>
    <w:link w:val="Footer"/>
    <w:uiPriority w:val="99"/>
    <w:locked/>
    <w:rsid w:val="00EA79D7"/>
    <w:rPr>
      <w:rFonts w:ascii="Arial" w:hAnsi="Arial" w:cs="Bookman Old Style"/>
      <w:sz w:val="22"/>
      <w:szCs w:val="22"/>
      <w:lang w:val="en-GB" w:eastAsia="de-DE"/>
    </w:rPr>
  </w:style>
  <w:style w:type="paragraph" w:customStyle="1" w:styleId="Paragraphestandard">
    <w:name w:val="[Paragraphe standard]"/>
    <w:basedOn w:val="Normal"/>
    <w:uiPriority w:val="99"/>
    <w:rsid w:val="00EA79D7"/>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styleId="Caption">
    <w:name w:val="caption"/>
    <w:basedOn w:val="Normal"/>
    <w:next w:val="Normal"/>
    <w:uiPriority w:val="35"/>
    <w:semiHidden/>
    <w:unhideWhenUsed/>
    <w:qFormat/>
    <w:rsid w:val="005C0A36"/>
    <w:pPr>
      <w:spacing w:after="200"/>
    </w:pPr>
    <w:rPr>
      <w:b/>
      <w:bCs/>
      <w:color w:val="114171" w:themeColor="accent1"/>
      <w:sz w:val="18"/>
      <w:szCs w:val="18"/>
    </w:rPr>
  </w:style>
  <w:style w:type="paragraph" w:styleId="Subtitle">
    <w:name w:val="Subtitle"/>
    <w:basedOn w:val="Normal"/>
    <w:next w:val="Normal"/>
    <w:link w:val="SubtitleChar"/>
    <w:uiPriority w:val="11"/>
    <w:qFormat/>
    <w:rsid w:val="001F2245"/>
    <w:rPr>
      <w:i/>
      <w:iCs/>
      <w:color w:val="F49243" w:themeColor="accent5"/>
      <w:sz w:val="25"/>
      <w:szCs w:val="25"/>
    </w:rPr>
  </w:style>
  <w:style w:type="character" w:customStyle="1" w:styleId="SubtitleChar">
    <w:name w:val="Subtitle Char"/>
    <w:basedOn w:val="DefaultParagraphFont"/>
    <w:link w:val="Subtitle"/>
    <w:uiPriority w:val="11"/>
    <w:locked/>
    <w:rsid w:val="001F2245"/>
    <w:rPr>
      <w:rFonts w:ascii="Arial" w:hAnsi="Arial" w:cs="Bookman Old Style"/>
      <w:i/>
      <w:iCs/>
      <w:color w:val="F49243" w:themeColor="accent5"/>
      <w:sz w:val="25"/>
      <w:szCs w:val="25"/>
      <w:lang w:val="en-GB" w:eastAsia="de-DE"/>
    </w:rPr>
  </w:style>
  <w:style w:type="character" w:styleId="Emphasis">
    <w:name w:val="Emphasis"/>
    <w:basedOn w:val="DefaultParagraphFont"/>
    <w:uiPriority w:val="20"/>
    <w:qFormat/>
    <w:rsid w:val="009A1C43"/>
    <w:rPr>
      <w:i/>
      <w:color w:val="auto"/>
      <w:u w:val="single"/>
    </w:rPr>
  </w:style>
  <w:style w:type="paragraph" w:styleId="NoSpacing">
    <w:name w:val="No Spacing"/>
    <w:basedOn w:val="Normal"/>
    <w:link w:val="NoSpacingChar"/>
    <w:uiPriority w:val="1"/>
    <w:qFormat/>
    <w:rsid w:val="00C9543C"/>
    <w:pPr>
      <w:spacing w:after="120"/>
      <w:jc w:val="left"/>
    </w:pPr>
  </w:style>
  <w:style w:type="character" w:customStyle="1" w:styleId="NoSpacingChar">
    <w:name w:val="No Spacing Char"/>
    <w:basedOn w:val="DefaultParagraphFont"/>
    <w:link w:val="NoSpacing"/>
    <w:uiPriority w:val="1"/>
    <w:locked/>
    <w:rsid w:val="00C9543C"/>
    <w:rPr>
      <w:rFonts w:ascii="Tahoma" w:eastAsia="Times New Roman" w:hAnsi="Tahoma" w:cs="Tahoma"/>
      <w:sz w:val="22"/>
      <w:lang w:val="en-GB" w:eastAsia="en-US"/>
    </w:rPr>
  </w:style>
  <w:style w:type="paragraph" w:styleId="ListParagraph">
    <w:name w:val="List Paragraph"/>
    <w:basedOn w:val="Normal"/>
    <w:uiPriority w:val="34"/>
    <w:qFormat/>
    <w:rsid w:val="005C0A36"/>
    <w:pPr>
      <w:ind w:left="720"/>
      <w:contextualSpacing/>
    </w:pPr>
  </w:style>
  <w:style w:type="paragraph" w:styleId="Quote">
    <w:name w:val="Quote"/>
    <w:basedOn w:val="Citation1"/>
    <w:next w:val="Normal"/>
    <w:link w:val="QuoteChar"/>
    <w:uiPriority w:val="29"/>
    <w:qFormat/>
    <w:rsid w:val="009A1C43"/>
    <w:rPr>
      <w:iCs w:val="0"/>
    </w:rPr>
  </w:style>
  <w:style w:type="character" w:customStyle="1" w:styleId="QuoteChar">
    <w:name w:val="Quote Char"/>
    <w:basedOn w:val="DefaultParagraphFont"/>
    <w:link w:val="Quote"/>
    <w:uiPriority w:val="29"/>
    <w:locked/>
    <w:rsid w:val="009A1C43"/>
    <w:rPr>
      <w:rFonts w:ascii="Arial" w:hAnsi="Arial" w:cs="Bookman Old Style"/>
      <w:i/>
      <w:iCs/>
      <w:color w:val="808080" w:themeColor="background1" w:themeShade="80"/>
      <w:sz w:val="22"/>
      <w:szCs w:val="22"/>
      <w:lang w:val="en-GB" w:eastAsia="de-DE"/>
    </w:rPr>
  </w:style>
  <w:style w:type="character" w:styleId="SubtleEmphasis">
    <w:name w:val="Subtle Emphasis"/>
    <w:basedOn w:val="DefaultParagraphFont"/>
    <w:qFormat/>
    <w:rsid w:val="005C0A36"/>
    <w:rPr>
      <w:i/>
      <w:color w:val="918A95" w:themeColor="text1" w:themeTint="7F"/>
    </w:rPr>
  </w:style>
  <w:style w:type="character" w:styleId="IntenseEmphasis">
    <w:name w:val="Intense Emphasis"/>
    <w:basedOn w:val="Emphasis"/>
    <w:uiPriority w:val="21"/>
    <w:qFormat/>
    <w:rsid w:val="009A1C43"/>
    <w:rPr>
      <w:rFonts w:cs="Times New Roman"/>
      <w:b/>
      <w:bCs/>
      <w:i/>
      <w:color w:val="auto"/>
      <w:sz w:val="21"/>
      <w:szCs w:val="21"/>
      <w:u w:val="single"/>
    </w:rPr>
  </w:style>
  <w:style w:type="character" w:styleId="SubtleReference">
    <w:name w:val="Subtle Reference"/>
    <w:basedOn w:val="DefaultParagraphFont"/>
    <w:uiPriority w:val="31"/>
    <w:qFormat/>
    <w:rsid w:val="006A69FC"/>
    <w:rPr>
      <w:smallCaps/>
      <w:color w:val="858079" w:themeColor="accent4"/>
      <w:u w:val="single"/>
    </w:rPr>
  </w:style>
  <w:style w:type="character" w:styleId="IntenseReference">
    <w:name w:val="Intense Reference"/>
    <w:basedOn w:val="DefaultParagraphFont"/>
    <w:uiPriority w:val="32"/>
    <w:qFormat/>
    <w:rsid w:val="006A69FC"/>
    <w:rPr>
      <w:color w:val="F49243" w:themeColor="accent5"/>
    </w:rPr>
  </w:style>
  <w:style w:type="character" w:styleId="BookTitle">
    <w:name w:val="Book Title"/>
    <w:basedOn w:val="DefaultParagraphFont"/>
    <w:uiPriority w:val="33"/>
    <w:qFormat/>
    <w:rsid w:val="006A69FC"/>
  </w:style>
  <w:style w:type="paragraph" w:styleId="TOCHeading">
    <w:name w:val="TOC Heading"/>
    <w:basedOn w:val="Heading1"/>
    <w:next w:val="Normal"/>
    <w:uiPriority w:val="39"/>
    <w:unhideWhenUsed/>
    <w:qFormat/>
    <w:rsid w:val="005C0A36"/>
    <w:pPr>
      <w:outlineLvl w:val="9"/>
    </w:pPr>
  </w:style>
  <w:style w:type="paragraph" w:styleId="Title">
    <w:name w:val="Title"/>
    <w:basedOn w:val="Normal"/>
    <w:next w:val="Normal"/>
    <w:link w:val="TitleChar"/>
    <w:autoRedefine/>
    <w:uiPriority w:val="10"/>
    <w:qFormat/>
    <w:rsid w:val="002160E2"/>
    <w:pPr>
      <w:spacing w:before="480" w:after="320"/>
    </w:pPr>
    <w:rPr>
      <w:rFonts w:ascii="Verdana" w:hAnsi="Verdana"/>
      <w:color w:val="9E2A2B" w:themeColor="accent2"/>
      <w:spacing w:val="-20"/>
      <w:sz w:val="36"/>
      <w:szCs w:val="40"/>
    </w:rPr>
  </w:style>
  <w:style w:type="character" w:customStyle="1" w:styleId="TitleChar">
    <w:name w:val="Title Char"/>
    <w:basedOn w:val="DefaultParagraphFont"/>
    <w:link w:val="Title"/>
    <w:uiPriority w:val="10"/>
    <w:locked/>
    <w:rsid w:val="002160E2"/>
    <w:rPr>
      <w:rFonts w:ascii="Verdana" w:eastAsia="Times New Roman" w:hAnsi="Verdana" w:cs="Tahoma"/>
      <w:color w:val="9E2A2B" w:themeColor="accent2"/>
      <w:spacing w:val="-20"/>
      <w:sz w:val="36"/>
      <w:szCs w:val="40"/>
      <w:lang w:val="en-GB" w:eastAsia="en-US"/>
    </w:rPr>
  </w:style>
  <w:style w:type="paragraph" w:customStyle="1" w:styleId="Address">
    <w:name w:val="Address"/>
    <w:basedOn w:val="Normal"/>
    <w:next w:val="Normal"/>
    <w:rsid w:val="00161486"/>
    <w:pPr>
      <w:tabs>
        <w:tab w:val="left" w:pos="143"/>
      </w:tabs>
      <w:spacing w:after="40"/>
    </w:pPr>
    <w:rPr>
      <w:rFonts w:cs="Arial"/>
      <w:spacing w:val="3"/>
      <w:sz w:val="15"/>
      <w:szCs w:val="15"/>
    </w:rPr>
  </w:style>
  <w:style w:type="paragraph" w:customStyle="1" w:styleId="AddressFirstline">
    <w:name w:val="Address First line"/>
    <w:basedOn w:val="Normal"/>
    <w:next w:val="Address"/>
    <w:autoRedefine/>
    <w:rsid w:val="00161486"/>
    <w:pPr>
      <w:tabs>
        <w:tab w:val="left" w:pos="143"/>
      </w:tabs>
      <w:spacing w:after="40"/>
    </w:pPr>
    <w:rPr>
      <w:rFonts w:cs="Arial"/>
      <w:color w:val="CB0000"/>
      <w:spacing w:val="1"/>
      <w:sz w:val="16"/>
      <w:szCs w:val="16"/>
    </w:rPr>
  </w:style>
  <w:style w:type="paragraph" w:customStyle="1" w:styleId="BulletLevel3">
    <w:name w:val="Bullet Level 3"/>
    <w:basedOn w:val="Normal"/>
    <w:next w:val="Normal"/>
    <w:qFormat/>
    <w:rsid w:val="00B9519D"/>
    <w:pPr>
      <w:numPr>
        <w:numId w:val="4"/>
      </w:numPr>
      <w:spacing w:after="120"/>
    </w:pPr>
  </w:style>
  <w:style w:type="paragraph" w:customStyle="1" w:styleId="a">
    <w:name w:val="@"/>
    <w:basedOn w:val="Paragraphestandard"/>
    <w:rsid w:val="005A5F24"/>
    <w:pPr>
      <w:tabs>
        <w:tab w:val="left" w:pos="119"/>
      </w:tabs>
    </w:pPr>
    <w:rPr>
      <w:rFonts w:ascii="Arial" w:hAnsi="Arial" w:cs="Arial"/>
      <w:spacing w:val="3"/>
      <w:position w:val="-3"/>
      <w:sz w:val="13"/>
      <w:szCs w:val="13"/>
    </w:rPr>
  </w:style>
  <w:style w:type="paragraph" w:styleId="BodyText">
    <w:name w:val="Body Text"/>
    <w:basedOn w:val="Normal"/>
    <w:link w:val="BodyTextChar"/>
    <w:rsid w:val="00886D33"/>
  </w:style>
  <w:style w:type="character" w:customStyle="1" w:styleId="BodyTextChar">
    <w:name w:val="Body Text Char"/>
    <w:basedOn w:val="DefaultParagraphFont"/>
    <w:link w:val="BodyText"/>
    <w:rsid w:val="00886D33"/>
    <w:rPr>
      <w:rFonts w:ascii="Times New Roman" w:eastAsia="Times New Roman" w:hAnsi="Times New Roman"/>
      <w:lang w:val="en-GB" w:eastAsia="en-US"/>
    </w:rPr>
  </w:style>
  <w:style w:type="paragraph" w:styleId="BodyText2">
    <w:name w:val="Body Text 2"/>
    <w:basedOn w:val="Normal"/>
    <w:link w:val="BodyText2Char"/>
    <w:rsid w:val="00886D33"/>
  </w:style>
  <w:style w:type="character" w:customStyle="1" w:styleId="BodyText2Char">
    <w:name w:val="Body Text 2 Char"/>
    <w:basedOn w:val="DefaultParagraphFont"/>
    <w:link w:val="BodyText2"/>
    <w:rsid w:val="00886D33"/>
    <w:rPr>
      <w:rFonts w:ascii="Times New Roman" w:eastAsia="Times New Roman" w:hAnsi="Times New Roman"/>
      <w:lang w:val="en-GB" w:eastAsia="en-US"/>
    </w:rPr>
  </w:style>
  <w:style w:type="paragraph" w:styleId="FootnoteText">
    <w:name w:val="footnote text"/>
    <w:basedOn w:val="Normal"/>
    <w:link w:val="FootnoteTextChar"/>
    <w:uiPriority w:val="99"/>
    <w:unhideWhenUsed/>
    <w:rsid w:val="007E5B24"/>
    <w:rPr>
      <w:rFonts w:ascii="Arial" w:eastAsiaTheme="minorEastAsia" w:hAnsi="Arial" w:cs="Bookman Old Style"/>
      <w:sz w:val="20"/>
      <w:szCs w:val="20"/>
      <w:lang w:eastAsia="de-DE"/>
    </w:rPr>
  </w:style>
  <w:style w:type="character" w:customStyle="1" w:styleId="FootnoteTextChar">
    <w:name w:val="Footnote Text Char"/>
    <w:basedOn w:val="DefaultParagraphFont"/>
    <w:link w:val="FootnoteText"/>
    <w:uiPriority w:val="99"/>
    <w:rsid w:val="007E5B24"/>
    <w:rPr>
      <w:rFonts w:ascii="Arial" w:hAnsi="Arial" w:cs="Bookman Old Style"/>
      <w:sz w:val="20"/>
      <w:szCs w:val="20"/>
      <w:lang w:val="en-GB" w:eastAsia="de-DE"/>
    </w:rPr>
  </w:style>
  <w:style w:type="character" w:styleId="FootnoteReference">
    <w:name w:val="footnote reference"/>
    <w:basedOn w:val="DefaultParagraphFont"/>
    <w:uiPriority w:val="99"/>
    <w:semiHidden/>
    <w:unhideWhenUsed/>
    <w:rsid w:val="007E5B24"/>
    <w:rPr>
      <w:vertAlign w:val="superscript"/>
    </w:rPr>
  </w:style>
  <w:style w:type="character" w:styleId="CommentReference">
    <w:name w:val="annotation reference"/>
    <w:basedOn w:val="DefaultParagraphFont"/>
    <w:uiPriority w:val="99"/>
    <w:semiHidden/>
    <w:unhideWhenUsed/>
    <w:rsid w:val="00403941"/>
    <w:rPr>
      <w:sz w:val="16"/>
      <w:szCs w:val="16"/>
    </w:rPr>
  </w:style>
  <w:style w:type="paragraph" w:styleId="CommentText">
    <w:name w:val="annotation text"/>
    <w:basedOn w:val="Normal"/>
    <w:link w:val="CommentTextChar"/>
    <w:uiPriority w:val="99"/>
    <w:semiHidden/>
    <w:unhideWhenUsed/>
    <w:rsid w:val="00403941"/>
    <w:rPr>
      <w:sz w:val="20"/>
      <w:szCs w:val="20"/>
    </w:rPr>
  </w:style>
  <w:style w:type="character" w:customStyle="1" w:styleId="CommentTextChar">
    <w:name w:val="Comment Text Char"/>
    <w:basedOn w:val="DefaultParagraphFont"/>
    <w:link w:val="CommentText"/>
    <w:uiPriority w:val="99"/>
    <w:semiHidden/>
    <w:rsid w:val="00403941"/>
    <w:rPr>
      <w:rFonts w:ascii="Times New Roman" w:eastAsia="Times New Roman" w:hAnsi="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403941"/>
    <w:rPr>
      <w:b/>
      <w:bCs/>
    </w:rPr>
  </w:style>
  <w:style w:type="character" w:customStyle="1" w:styleId="CommentSubjectChar">
    <w:name w:val="Comment Subject Char"/>
    <w:basedOn w:val="CommentTextChar"/>
    <w:link w:val="CommentSubject"/>
    <w:uiPriority w:val="99"/>
    <w:semiHidden/>
    <w:rsid w:val="00403941"/>
    <w:rPr>
      <w:rFonts w:ascii="Times New Roman" w:eastAsia="Times New Roman" w:hAnsi="Times New Roman"/>
      <w:b/>
      <w:bCs/>
      <w:sz w:val="20"/>
      <w:szCs w:val="20"/>
      <w:lang w:val="en-GB" w:eastAsia="en-US"/>
    </w:rPr>
  </w:style>
  <w:style w:type="paragraph" w:styleId="BalloonText">
    <w:name w:val="Balloon Text"/>
    <w:basedOn w:val="Normal"/>
    <w:link w:val="BalloonTextChar"/>
    <w:uiPriority w:val="99"/>
    <w:semiHidden/>
    <w:unhideWhenUsed/>
    <w:rsid w:val="00403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941"/>
    <w:rPr>
      <w:rFonts w:ascii="Segoe UI" w:eastAsia="Times New Roman" w:hAnsi="Segoe UI" w:cs="Segoe UI"/>
      <w:sz w:val="18"/>
      <w:szCs w:val="18"/>
      <w:lang w:val="en-GB" w:eastAsia="en-US"/>
    </w:rPr>
  </w:style>
  <w:style w:type="character" w:styleId="Hyperlink">
    <w:name w:val="Hyperlink"/>
    <w:basedOn w:val="DefaultParagraphFont"/>
    <w:uiPriority w:val="99"/>
    <w:unhideWhenUsed/>
    <w:rsid w:val="00527415"/>
    <w:rPr>
      <w:color w:val="0563C1" w:themeColor="hyperlink"/>
      <w:u w:val="single"/>
    </w:rPr>
  </w:style>
  <w:style w:type="paragraph" w:customStyle="1" w:styleId="Default">
    <w:name w:val="Default"/>
    <w:rsid w:val="00527415"/>
    <w:pPr>
      <w:autoSpaceDE w:val="0"/>
      <w:autoSpaceDN w:val="0"/>
      <w:adjustRightInd w:val="0"/>
    </w:pPr>
    <w:rPr>
      <w:rFonts w:ascii="Arial" w:hAnsi="Arial" w:cs="Arial"/>
      <w:color w:val="000000"/>
    </w:rPr>
  </w:style>
  <w:style w:type="table" w:styleId="TableGrid">
    <w:name w:val="Table Grid"/>
    <w:basedOn w:val="TableNormal"/>
    <w:uiPriority w:val="39"/>
    <w:rsid w:val="00527415"/>
    <w:rPr>
      <w:rFonts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90C50"/>
    <w:rPr>
      <w:color w:val="808080"/>
      <w:shd w:val="clear" w:color="auto" w:fill="E6E6E6"/>
    </w:rPr>
  </w:style>
  <w:style w:type="character" w:customStyle="1" w:styleId="UnresolvedMention2">
    <w:name w:val="Unresolved Mention2"/>
    <w:basedOn w:val="DefaultParagraphFont"/>
    <w:uiPriority w:val="99"/>
    <w:semiHidden/>
    <w:unhideWhenUsed/>
    <w:rsid w:val="00A4645A"/>
    <w:rPr>
      <w:color w:val="605E5C"/>
      <w:shd w:val="clear" w:color="auto" w:fill="E1DFDD"/>
    </w:rPr>
  </w:style>
  <w:style w:type="character" w:styleId="FollowedHyperlink">
    <w:name w:val="FollowedHyperlink"/>
    <w:basedOn w:val="DefaultParagraphFont"/>
    <w:uiPriority w:val="99"/>
    <w:semiHidden/>
    <w:unhideWhenUsed/>
    <w:rsid w:val="00713ED0"/>
    <w:rPr>
      <w:color w:val="954F72" w:themeColor="followedHyperlink"/>
      <w:u w:val="single"/>
    </w:rPr>
  </w:style>
  <w:style w:type="paragraph" w:styleId="NormalWeb">
    <w:name w:val="Normal (Web)"/>
    <w:basedOn w:val="Normal"/>
    <w:uiPriority w:val="99"/>
    <w:semiHidden/>
    <w:unhideWhenUsed/>
    <w:rsid w:val="007E05AB"/>
    <w:pPr>
      <w:spacing w:before="100" w:beforeAutospacing="1" w:after="100" w:afterAutospacing="1"/>
      <w:jc w:val="left"/>
    </w:pPr>
    <w:rPr>
      <w:rFonts w:ascii="Calibri" w:eastAsiaTheme="minorHAnsi" w:hAnsi="Calibri" w:cs="Calibri"/>
      <w:szCs w:val="22"/>
      <w:lang w:val="fr-CH" w:eastAsia="fr-CH"/>
    </w:rPr>
  </w:style>
  <w:style w:type="paragraph" w:styleId="TOC1">
    <w:name w:val="toc 1"/>
    <w:basedOn w:val="Normal"/>
    <w:next w:val="Normal"/>
    <w:autoRedefine/>
    <w:uiPriority w:val="39"/>
    <w:unhideWhenUsed/>
    <w:rsid w:val="004E52E7"/>
    <w:pPr>
      <w:spacing w:after="100"/>
    </w:pPr>
  </w:style>
  <w:style w:type="paragraph" w:customStyle="1" w:styleId="BulletinTable">
    <w:name w:val="Bullet in Table"/>
    <w:basedOn w:val="NoSpacing"/>
    <w:link w:val="BulletinTableChar"/>
    <w:qFormat/>
    <w:rsid w:val="00AA37BA"/>
    <w:pPr>
      <w:numPr>
        <w:numId w:val="6"/>
      </w:numPr>
    </w:pPr>
  </w:style>
  <w:style w:type="paragraph" w:customStyle="1" w:styleId="Titlebold">
    <w:name w:val="Title bold"/>
    <w:basedOn w:val="NoSpacing"/>
    <w:link w:val="TitleboldChar"/>
    <w:qFormat/>
    <w:rsid w:val="00AA37BA"/>
    <w:rPr>
      <w:b/>
      <w:bCs/>
    </w:rPr>
  </w:style>
  <w:style w:type="character" w:customStyle="1" w:styleId="BulletinTableChar">
    <w:name w:val="Bullet in Table Char"/>
    <w:basedOn w:val="NoSpacingChar"/>
    <w:link w:val="BulletinTable"/>
    <w:rsid w:val="00AA37BA"/>
    <w:rPr>
      <w:rFonts w:ascii="Tahoma" w:eastAsia="Times New Roman" w:hAnsi="Tahoma" w:cs="Tahoma"/>
      <w:sz w:val="22"/>
      <w:lang w:val="en-GB" w:eastAsia="en-US"/>
    </w:rPr>
  </w:style>
  <w:style w:type="paragraph" w:customStyle="1" w:styleId="Bold">
    <w:name w:val="Bold"/>
    <w:basedOn w:val="Titlebold"/>
    <w:link w:val="BoldChar"/>
    <w:qFormat/>
    <w:rsid w:val="00AA37BA"/>
  </w:style>
  <w:style w:type="character" w:customStyle="1" w:styleId="TitleboldChar">
    <w:name w:val="Title bold Char"/>
    <w:basedOn w:val="NoSpacingChar"/>
    <w:link w:val="Titlebold"/>
    <w:rsid w:val="00AA37BA"/>
    <w:rPr>
      <w:rFonts w:ascii="Tahoma" w:eastAsia="Times New Roman" w:hAnsi="Tahoma" w:cs="Tahoma"/>
      <w:b/>
      <w:bCs/>
      <w:sz w:val="22"/>
      <w:lang w:val="en-GB" w:eastAsia="en-US"/>
    </w:rPr>
  </w:style>
  <w:style w:type="paragraph" w:customStyle="1" w:styleId="Basic">
    <w:name w:val="Basic"/>
    <w:basedOn w:val="Normal"/>
    <w:link w:val="BasicChar"/>
    <w:qFormat/>
    <w:rsid w:val="00AA37BA"/>
    <w:pPr>
      <w:jc w:val="left"/>
    </w:pPr>
  </w:style>
  <w:style w:type="character" w:customStyle="1" w:styleId="BoldChar">
    <w:name w:val="Bold Char"/>
    <w:basedOn w:val="TitleboldChar"/>
    <w:link w:val="Bold"/>
    <w:rsid w:val="00AA37BA"/>
    <w:rPr>
      <w:rFonts w:ascii="Tahoma" w:eastAsia="Times New Roman" w:hAnsi="Tahoma" w:cs="Tahoma"/>
      <w:b/>
      <w:bCs/>
      <w:sz w:val="22"/>
      <w:lang w:val="en-GB" w:eastAsia="en-US"/>
    </w:rPr>
  </w:style>
  <w:style w:type="character" w:customStyle="1" w:styleId="BasicChar">
    <w:name w:val="Basic Char"/>
    <w:basedOn w:val="DefaultParagraphFont"/>
    <w:link w:val="Basic"/>
    <w:rsid w:val="00AA37BA"/>
    <w:rPr>
      <w:rFonts w:ascii="Tahoma" w:eastAsia="Times New Roman" w:hAnsi="Tahoma" w:cs="Tahoma"/>
      <w:sz w:val="22"/>
      <w:lang w:val="en-GB" w:eastAsia="en-US"/>
    </w:rPr>
  </w:style>
  <w:style w:type="character" w:styleId="UnresolvedMention">
    <w:name w:val="Unresolved Mention"/>
    <w:basedOn w:val="DefaultParagraphFont"/>
    <w:uiPriority w:val="99"/>
    <w:semiHidden/>
    <w:unhideWhenUsed/>
    <w:rsid w:val="00664E36"/>
    <w:rPr>
      <w:color w:val="605E5C"/>
      <w:shd w:val="clear" w:color="auto" w:fill="E1DFDD"/>
    </w:rPr>
  </w:style>
  <w:style w:type="paragraph" w:styleId="Revision">
    <w:name w:val="Revision"/>
    <w:hidden/>
    <w:uiPriority w:val="99"/>
    <w:semiHidden/>
    <w:rsid w:val="00533D70"/>
    <w:rPr>
      <w:rFonts w:ascii="Tahoma" w:eastAsia="Times New Roman" w:hAnsi="Tahoma" w:cs="Tahoma"/>
      <w:sz w:val="22"/>
      <w:lang w:val="en-GB" w:eastAsia="en-US"/>
    </w:rPr>
  </w:style>
  <w:style w:type="paragraph" w:customStyle="1" w:styleId="xmsonormal">
    <w:name w:val="x_msonormal"/>
    <w:basedOn w:val="Normal"/>
    <w:rsid w:val="007A038E"/>
    <w:pPr>
      <w:spacing w:before="0" w:after="0"/>
      <w:jc w:val="left"/>
    </w:pPr>
    <w:rPr>
      <w:rFonts w:ascii="Calibri" w:eastAsiaTheme="minorHAns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0489">
      <w:bodyDiv w:val="1"/>
      <w:marLeft w:val="0"/>
      <w:marRight w:val="0"/>
      <w:marTop w:val="0"/>
      <w:marBottom w:val="0"/>
      <w:divBdr>
        <w:top w:val="none" w:sz="0" w:space="0" w:color="auto"/>
        <w:left w:val="none" w:sz="0" w:space="0" w:color="auto"/>
        <w:bottom w:val="none" w:sz="0" w:space="0" w:color="auto"/>
        <w:right w:val="none" w:sz="0" w:space="0" w:color="auto"/>
      </w:divBdr>
    </w:div>
    <w:div w:id="62677885">
      <w:bodyDiv w:val="1"/>
      <w:marLeft w:val="0"/>
      <w:marRight w:val="0"/>
      <w:marTop w:val="0"/>
      <w:marBottom w:val="0"/>
      <w:divBdr>
        <w:top w:val="none" w:sz="0" w:space="0" w:color="auto"/>
        <w:left w:val="none" w:sz="0" w:space="0" w:color="auto"/>
        <w:bottom w:val="none" w:sz="0" w:space="0" w:color="auto"/>
        <w:right w:val="none" w:sz="0" w:space="0" w:color="auto"/>
      </w:divBdr>
    </w:div>
    <w:div w:id="120614919">
      <w:bodyDiv w:val="1"/>
      <w:marLeft w:val="0"/>
      <w:marRight w:val="0"/>
      <w:marTop w:val="0"/>
      <w:marBottom w:val="0"/>
      <w:divBdr>
        <w:top w:val="none" w:sz="0" w:space="0" w:color="auto"/>
        <w:left w:val="none" w:sz="0" w:space="0" w:color="auto"/>
        <w:bottom w:val="none" w:sz="0" w:space="0" w:color="auto"/>
        <w:right w:val="none" w:sz="0" w:space="0" w:color="auto"/>
      </w:divBdr>
    </w:div>
    <w:div w:id="157045130">
      <w:bodyDiv w:val="1"/>
      <w:marLeft w:val="0"/>
      <w:marRight w:val="0"/>
      <w:marTop w:val="0"/>
      <w:marBottom w:val="0"/>
      <w:divBdr>
        <w:top w:val="none" w:sz="0" w:space="0" w:color="auto"/>
        <w:left w:val="none" w:sz="0" w:space="0" w:color="auto"/>
        <w:bottom w:val="none" w:sz="0" w:space="0" w:color="auto"/>
        <w:right w:val="none" w:sz="0" w:space="0" w:color="auto"/>
      </w:divBdr>
    </w:div>
    <w:div w:id="166214799">
      <w:bodyDiv w:val="1"/>
      <w:marLeft w:val="0"/>
      <w:marRight w:val="0"/>
      <w:marTop w:val="0"/>
      <w:marBottom w:val="0"/>
      <w:divBdr>
        <w:top w:val="none" w:sz="0" w:space="0" w:color="auto"/>
        <w:left w:val="none" w:sz="0" w:space="0" w:color="auto"/>
        <w:bottom w:val="none" w:sz="0" w:space="0" w:color="auto"/>
        <w:right w:val="none" w:sz="0" w:space="0" w:color="auto"/>
      </w:divBdr>
    </w:div>
    <w:div w:id="296374729">
      <w:bodyDiv w:val="1"/>
      <w:marLeft w:val="0"/>
      <w:marRight w:val="0"/>
      <w:marTop w:val="0"/>
      <w:marBottom w:val="0"/>
      <w:divBdr>
        <w:top w:val="none" w:sz="0" w:space="0" w:color="auto"/>
        <w:left w:val="none" w:sz="0" w:space="0" w:color="auto"/>
        <w:bottom w:val="none" w:sz="0" w:space="0" w:color="auto"/>
        <w:right w:val="none" w:sz="0" w:space="0" w:color="auto"/>
      </w:divBdr>
    </w:div>
    <w:div w:id="356732883">
      <w:bodyDiv w:val="1"/>
      <w:marLeft w:val="0"/>
      <w:marRight w:val="0"/>
      <w:marTop w:val="0"/>
      <w:marBottom w:val="0"/>
      <w:divBdr>
        <w:top w:val="none" w:sz="0" w:space="0" w:color="auto"/>
        <w:left w:val="none" w:sz="0" w:space="0" w:color="auto"/>
        <w:bottom w:val="none" w:sz="0" w:space="0" w:color="auto"/>
        <w:right w:val="none" w:sz="0" w:space="0" w:color="auto"/>
      </w:divBdr>
    </w:div>
    <w:div w:id="427770319">
      <w:bodyDiv w:val="1"/>
      <w:marLeft w:val="0"/>
      <w:marRight w:val="0"/>
      <w:marTop w:val="0"/>
      <w:marBottom w:val="0"/>
      <w:divBdr>
        <w:top w:val="none" w:sz="0" w:space="0" w:color="auto"/>
        <w:left w:val="none" w:sz="0" w:space="0" w:color="auto"/>
        <w:bottom w:val="none" w:sz="0" w:space="0" w:color="auto"/>
        <w:right w:val="none" w:sz="0" w:space="0" w:color="auto"/>
      </w:divBdr>
    </w:div>
    <w:div w:id="437218413">
      <w:bodyDiv w:val="1"/>
      <w:marLeft w:val="0"/>
      <w:marRight w:val="0"/>
      <w:marTop w:val="0"/>
      <w:marBottom w:val="0"/>
      <w:divBdr>
        <w:top w:val="none" w:sz="0" w:space="0" w:color="auto"/>
        <w:left w:val="none" w:sz="0" w:space="0" w:color="auto"/>
        <w:bottom w:val="none" w:sz="0" w:space="0" w:color="auto"/>
        <w:right w:val="none" w:sz="0" w:space="0" w:color="auto"/>
      </w:divBdr>
    </w:div>
    <w:div w:id="460730004">
      <w:bodyDiv w:val="1"/>
      <w:marLeft w:val="0"/>
      <w:marRight w:val="0"/>
      <w:marTop w:val="0"/>
      <w:marBottom w:val="0"/>
      <w:divBdr>
        <w:top w:val="none" w:sz="0" w:space="0" w:color="auto"/>
        <w:left w:val="none" w:sz="0" w:space="0" w:color="auto"/>
        <w:bottom w:val="none" w:sz="0" w:space="0" w:color="auto"/>
        <w:right w:val="none" w:sz="0" w:space="0" w:color="auto"/>
      </w:divBdr>
    </w:div>
    <w:div w:id="501555916">
      <w:bodyDiv w:val="1"/>
      <w:marLeft w:val="0"/>
      <w:marRight w:val="0"/>
      <w:marTop w:val="0"/>
      <w:marBottom w:val="0"/>
      <w:divBdr>
        <w:top w:val="none" w:sz="0" w:space="0" w:color="auto"/>
        <w:left w:val="none" w:sz="0" w:space="0" w:color="auto"/>
        <w:bottom w:val="none" w:sz="0" w:space="0" w:color="auto"/>
        <w:right w:val="none" w:sz="0" w:space="0" w:color="auto"/>
      </w:divBdr>
    </w:div>
    <w:div w:id="623195721">
      <w:bodyDiv w:val="1"/>
      <w:marLeft w:val="0"/>
      <w:marRight w:val="0"/>
      <w:marTop w:val="0"/>
      <w:marBottom w:val="0"/>
      <w:divBdr>
        <w:top w:val="none" w:sz="0" w:space="0" w:color="auto"/>
        <w:left w:val="none" w:sz="0" w:space="0" w:color="auto"/>
        <w:bottom w:val="none" w:sz="0" w:space="0" w:color="auto"/>
        <w:right w:val="none" w:sz="0" w:space="0" w:color="auto"/>
      </w:divBdr>
    </w:div>
    <w:div w:id="770202286">
      <w:bodyDiv w:val="1"/>
      <w:marLeft w:val="0"/>
      <w:marRight w:val="0"/>
      <w:marTop w:val="0"/>
      <w:marBottom w:val="0"/>
      <w:divBdr>
        <w:top w:val="none" w:sz="0" w:space="0" w:color="auto"/>
        <w:left w:val="none" w:sz="0" w:space="0" w:color="auto"/>
        <w:bottom w:val="none" w:sz="0" w:space="0" w:color="auto"/>
        <w:right w:val="none" w:sz="0" w:space="0" w:color="auto"/>
      </w:divBdr>
    </w:div>
    <w:div w:id="803811557">
      <w:bodyDiv w:val="1"/>
      <w:marLeft w:val="0"/>
      <w:marRight w:val="0"/>
      <w:marTop w:val="0"/>
      <w:marBottom w:val="0"/>
      <w:divBdr>
        <w:top w:val="none" w:sz="0" w:space="0" w:color="auto"/>
        <w:left w:val="none" w:sz="0" w:space="0" w:color="auto"/>
        <w:bottom w:val="none" w:sz="0" w:space="0" w:color="auto"/>
        <w:right w:val="none" w:sz="0" w:space="0" w:color="auto"/>
      </w:divBdr>
    </w:div>
    <w:div w:id="819080967">
      <w:bodyDiv w:val="1"/>
      <w:marLeft w:val="0"/>
      <w:marRight w:val="0"/>
      <w:marTop w:val="0"/>
      <w:marBottom w:val="0"/>
      <w:divBdr>
        <w:top w:val="none" w:sz="0" w:space="0" w:color="auto"/>
        <w:left w:val="none" w:sz="0" w:space="0" w:color="auto"/>
        <w:bottom w:val="none" w:sz="0" w:space="0" w:color="auto"/>
        <w:right w:val="none" w:sz="0" w:space="0" w:color="auto"/>
      </w:divBdr>
    </w:div>
    <w:div w:id="838272322">
      <w:bodyDiv w:val="1"/>
      <w:marLeft w:val="0"/>
      <w:marRight w:val="0"/>
      <w:marTop w:val="0"/>
      <w:marBottom w:val="0"/>
      <w:divBdr>
        <w:top w:val="none" w:sz="0" w:space="0" w:color="auto"/>
        <w:left w:val="none" w:sz="0" w:space="0" w:color="auto"/>
        <w:bottom w:val="none" w:sz="0" w:space="0" w:color="auto"/>
        <w:right w:val="none" w:sz="0" w:space="0" w:color="auto"/>
      </w:divBdr>
    </w:div>
    <w:div w:id="891771041">
      <w:bodyDiv w:val="1"/>
      <w:marLeft w:val="0"/>
      <w:marRight w:val="0"/>
      <w:marTop w:val="0"/>
      <w:marBottom w:val="0"/>
      <w:divBdr>
        <w:top w:val="none" w:sz="0" w:space="0" w:color="auto"/>
        <w:left w:val="none" w:sz="0" w:space="0" w:color="auto"/>
        <w:bottom w:val="none" w:sz="0" w:space="0" w:color="auto"/>
        <w:right w:val="none" w:sz="0" w:space="0" w:color="auto"/>
      </w:divBdr>
    </w:div>
    <w:div w:id="1053693824">
      <w:bodyDiv w:val="1"/>
      <w:marLeft w:val="0"/>
      <w:marRight w:val="0"/>
      <w:marTop w:val="0"/>
      <w:marBottom w:val="0"/>
      <w:divBdr>
        <w:top w:val="none" w:sz="0" w:space="0" w:color="auto"/>
        <w:left w:val="none" w:sz="0" w:space="0" w:color="auto"/>
        <w:bottom w:val="none" w:sz="0" w:space="0" w:color="auto"/>
        <w:right w:val="none" w:sz="0" w:space="0" w:color="auto"/>
      </w:divBdr>
    </w:div>
    <w:div w:id="1085154182">
      <w:bodyDiv w:val="1"/>
      <w:marLeft w:val="0"/>
      <w:marRight w:val="0"/>
      <w:marTop w:val="0"/>
      <w:marBottom w:val="0"/>
      <w:divBdr>
        <w:top w:val="none" w:sz="0" w:space="0" w:color="auto"/>
        <w:left w:val="none" w:sz="0" w:space="0" w:color="auto"/>
        <w:bottom w:val="none" w:sz="0" w:space="0" w:color="auto"/>
        <w:right w:val="none" w:sz="0" w:space="0" w:color="auto"/>
      </w:divBdr>
    </w:div>
    <w:div w:id="1111559078">
      <w:bodyDiv w:val="1"/>
      <w:marLeft w:val="0"/>
      <w:marRight w:val="0"/>
      <w:marTop w:val="0"/>
      <w:marBottom w:val="0"/>
      <w:divBdr>
        <w:top w:val="none" w:sz="0" w:space="0" w:color="auto"/>
        <w:left w:val="none" w:sz="0" w:space="0" w:color="auto"/>
        <w:bottom w:val="none" w:sz="0" w:space="0" w:color="auto"/>
        <w:right w:val="none" w:sz="0" w:space="0" w:color="auto"/>
      </w:divBdr>
    </w:div>
    <w:div w:id="1177184979">
      <w:bodyDiv w:val="1"/>
      <w:marLeft w:val="0"/>
      <w:marRight w:val="0"/>
      <w:marTop w:val="0"/>
      <w:marBottom w:val="0"/>
      <w:divBdr>
        <w:top w:val="none" w:sz="0" w:space="0" w:color="auto"/>
        <w:left w:val="none" w:sz="0" w:space="0" w:color="auto"/>
        <w:bottom w:val="none" w:sz="0" w:space="0" w:color="auto"/>
        <w:right w:val="none" w:sz="0" w:space="0" w:color="auto"/>
      </w:divBdr>
    </w:div>
    <w:div w:id="1195970437">
      <w:bodyDiv w:val="1"/>
      <w:marLeft w:val="0"/>
      <w:marRight w:val="0"/>
      <w:marTop w:val="0"/>
      <w:marBottom w:val="0"/>
      <w:divBdr>
        <w:top w:val="none" w:sz="0" w:space="0" w:color="auto"/>
        <w:left w:val="none" w:sz="0" w:space="0" w:color="auto"/>
        <w:bottom w:val="none" w:sz="0" w:space="0" w:color="auto"/>
        <w:right w:val="none" w:sz="0" w:space="0" w:color="auto"/>
      </w:divBdr>
    </w:div>
    <w:div w:id="1286620094">
      <w:bodyDiv w:val="1"/>
      <w:marLeft w:val="0"/>
      <w:marRight w:val="0"/>
      <w:marTop w:val="0"/>
      <w:marBottom w:val="0"/>
      <w:divBdr>
        <w:top w:val="none" w:sz="0" w:space="0" w:color="auto"/>
        <w:left w:val="none" w:sz="0" w:space="0" w:color="auto"/>
        <w:bottom w:val="none" w:sz="0" w:space="0" w:color="auto"/>
        <w:right w:val="none" w:sz="0" w:space="0" w:color="auto"/>
      </w:divBdr>
    </w:div>
    <w:div w:id="1332948884">
      <w:bodyDiv w:val="1"/>
      <w:marLeft w:val="0"/>
      <w:marRight w:val="0"/>
      <w:marTop w:val="0"/>
      <w:marBottom w:val="0"/>
      <w:divBdr>
        <w:top w:val="none" w:sz="0" w:space="0" w:color="auto"/>
        <w:left w:val="none" w:sz="0" w:space="0" w:color="auto"/>
        <w:bottom w:val="none" w:sz="0" w:space="0" w:color="auto"/>
        <w:right w:val="none" w:sz="0" w:space="0" w:color="auto"/>
      </w:divBdr>
    </w:div>
    <w:div w:id="1348478715">
      <w:bodyDiv w:val="1"/>
      <w:marLeft w:val="0"/>
      <w:marRight w:val="0"/>
      <w:marTop w:val="0"/>
      <w:marBottom w:val="0"/>
      <w:divBdr>
        <w:top w:val="none" w:sz="0" w:space="0" w:color="auto"/>
        <w:left w:val="none" w:sz="0" w:space="0" w:color="auto"/>
        <w:bottom w:val="none" w:sz="0" w:space="0" w:color="auto"/>
        <w:right w:val="none" w:sz="0" w:space="0" w:color="auto"/>
      </w:divBdr>
    </w:div>
    <w:div w:id="1377046592">
      <w:bodyDiv w:val="1"/>
      <w:marLeft w:val="0"/>
      <w:marRight w:val="0"/>
      <w:marTop w:val="0"/>
      <w:marBottom w:val="0"/>
      <w:divBdr>
        <w:top w:val="none" w:sz="0" w:space="0" w:color="auto"/>
        <w:left w:val="none" w:sz="0" w:space="0" w:color="auto"/>
        <w:bottom w:val="none" w:sz="0" w:space="0" w:color="auto"/>
        <w:right w:val="none" w:sz="0" w:space="0" w:color="auto"/>
      </w:divBdr>
    </w:div>
    <w:div w:id="1534075403">
      <w:bodyDiv w:val="1"/>
      <w:marLeft w:val="0"/>
      <w:marRight w:val="0"/>
      <w:marTop w:val="0"/>
      <w:marBottom w:val="0"/>
      <w:divBdr>
        <w:top w:val="none" w:sz="0" w:space="0" w:color="auto"/>
        <w:left w:val="none" w:sz="0" w:space="0" w:color="auto"/>
        <w:bottom w:val="none" w:sz="0" w:space="0" w:color="auto"/>
        <w:right w:val="none" w:sz="0" w:space="0" w:color="auto"/>
      </w:divBdr>
    </w:div>
    <w:div w:id="1596283282">
      <w:bodyDiv w:val="1"/>
      <w:marLeft w:val="0"/>
      <w:marRight w:val="0"/>
      <w:marTop w:val="0"/>
      <w:marBottom w:val="0"/>
      <w:divBdr>
        <w:top w:val="none" w:sz="0" w:space="0" w:color="auto"/>
        <w:left w:val="none" w:sz="0" w:space="0" w:color="auto"/>
        <w:bottom w:val="none" w:sz="0" w:space="0" w:color="auto"/>
        <w:right w:val="none" w:sz="0" w:space="0" w:color="auto"/>
      </w:divBdr>
    </w:div>
    <w:div w:id="1597791660">
      <w:bodyDiv w:val="1"/>
      <w:marLeft w:val="0"/>
      <w:marRight w:val="0"/>
      <w:marTop w:val="0"/>
      <w:marBottom w:val="0"/>
      <w:divBdr>
        <w:top w:val="none" w:sz="0" w:space="0" w:color="auto"/>
        <w:left w:val="none" w:sz="0" w:space="0" w:color="auto"/>
        <w:bottom w:val="none" w:sz="0" w:space="0" w:color="auto"/>
        <w:right w:val="none" w:sz="0" w:space="0" w:color="auto"/>
      </w:divBdr>
    </w:div>
    <w:div w:id="1640109700">
      <w:bodyDiv w:val="1"/>
      <w:marLeft w:val="0"/>
      <w:marRight w:val="0"/>
      <w:marTop w:val="0"/>
      <w:marBottom w:val="0"/>
      <w:divBdr>
        <w:top w:val="none" w:sz="0" w:space="0" w:color="auto"/>
        <w:left w:val="none" w:sz="0" w:space="0" w:color="auto"/>
        <w:bottom w:val="none" w:sz="0" w:space="0" w:color="auto"/>
        <w:right w:val="none" w:sz="0" w:space="0" w:color="auto"/>
      </w:divBdr>
    </w:div>
    <w:div w:id="1667587395">
      <w:bodyDiv w:val="1"/>
      <w:marLeft w:val="0"/>
      <w:marRight w:val="0"/>
      <w:marTop w:val="0"/>
      <w:marBottom w:val="0"/>
      <w:divBdr>
        <w:top w:val="none" w:sz="0" w:space="0" w:color="auto"/>
        <w:left w:val="none" w:sz="0" w:space="0" w:color="auto"/>
        <w:bottom w:val="none" w:sz="0" w:space="0" w:color="auto"/>
        <w:right w:val="none" w:sz="0" w:space="0" w:color="auto"/>
      </w:divBdr>
    </w:div>
    <w:div w:id="1726372249">
      <w:bodyDiv w:val="1"/>
      <w:marLeft w:val="0"/>
      <w:marRight w:val="0"/>
      <w:marTop w:val="0"/>
      <w:marBottom w:val="0"/>
      <w:divBdr>
        <w:top w:val="none" w:sz="0" w:space="0" w:color="auto"/>
        <w:left w:val="none" w:sz="0" w:space="0" w:color="auto"/>
        <w:bottom w:val="none" w:sz="0" w:space="0" w:color="auto"/>
        <w:right w:val="none" w:sz="0" w:space="0" w:color="auto"/>
      </w:divBdr>
    </w:div>
    <w:div w:id="1729450476">
      <w:bodyDiv w:val="1"/>
      <w:marLeft w:val="0"/>
      <w:marRight w:val="0"/>
      <w:marTop w:val="0"/>
      <w:marBottom w:val="0"/>
      <w:divBdr>
        <w:top w:val="none" w:sz="0" w:space="0" w:color="auto"/>
        <w:left w:val="none" w:sz="0" w:space="0" w:color="auto"/>
        <w:bottom w:val="none" w:sz="0" w:space="0" w:color="auto"/>
        <w:right w:val="none" w:sz="0" w:space="0" w:color="auto"/>
      </w:divBdr>
    </w:div>
    <w:div w:id="1756246939">
      <w:bodyDiv w:val="1"/>
      <w:marLeft w:val="0"/>
      <w:marRight w:val="0"/>
      <w:marTop w:val="0"/>
      <w:marBottom w:val="0"/>
      <w:divBdr>
        <w:top w:val="none" w:sz="0" w:space="0" w:color="auto"/>
        <w:left w:val="none" w:sz="0" w:space="0" w:color="auto"/>
        <w:bottom w:val="none" w:sz="0" w:space="0" w:color="auto"/>
        <w:right w:val="none" w:sz="0" w:space="0" w:color="auto"/>
      </w:divBdr>
    </w:div>
    <w:div w:id="1790082643">
      <w:bodyDiv w:val="1"/>
      <w:marLeft w:val="0"/>
      <w:marRight w:val="0"/>
      <w:marTop w:val="0"/>
      <w:marBottom w:val="0"/>
      <w:divBdr>
        <w:top w:val="none" w:sz="0" w:space="0" w:color="auto"/>
        <w:left w:val="none" w:sz="0" w:space="0" w:color="auto"/>
        <w:bottom w:val="none" w:sz="0" w:space="0" w:color="auto"/>
        <w:right w:val="none" w:sz="0" w:space="0" w:color="auto"/>
      </w:divBdr>
    </w:div>
    <w:div w:id="1839222993">
      <w:bodyDiv w:val="1"/>
      <w:marLeft w:val="0"/>
      <w:marRight w:val="0"/>
      <w:marTop w:val="0"/>
      <w:marBottom w:val="0"/>
      <w:divBdr>
        <w:top w:val="none" w:sz="0" w:space="0" w:color="auto"/>
        <w:left w:val="none" w:sz="0" w:space="0" w:color="auto"/>
        <w:bottom w:val="none" w:sz="0" w:space="0" w:color="auto"/>
        <w:right w:val="none" w:sz="0" w:space="0" w:color="auto"/>
      </w:divBdr>
    </w:div>
    <w:div w:id="1842500132">
      <w:bodyDiv w:val="1"/>
      <w:marLeft w:val="0"/>
      <w:marRight w:val="0"/>
      <w:marTop w:val="0"/>
      <w:marBottom w:val="0"/>
      <w:divBdr>
        <w:top w:val="none" w:sz="0" w:space="0" w:color="auto"/>
        <w:left w:val="none" w:sz="0" w:space="0" w:color="auto"/>
        <w:bottom w:val="none" w:sz="0" w:space="0" w:color="auto"/>
        <w:right w:val="none" w:sz="0" w:space="0" w:color="auto"/>
      </w:divBdr>
    </w:div>
    <w:div w:id="1873228163">
      <w:bodyDiv w:val="1"/>
      <w:marLeft w:val="0"/>
      <w:marRight w:val="0"/>
      <w:marTop w:val="0"/>
      <w:marBottom w:val="0"/>
      <w:divBdr>
        <w:top w:val="none" w:sz="0" w:space="0" w:color="auto"/>
        <w:left w:val="none" w:sz="0" w:space="0" w:color="auto"/>
        <w:bottom w:val="none" w:sz="0" w:space="0" w:color="auto"/>
        <w:right w:val="none" w:sz="0" w:space="0" w:color="auto"/>
      </w:divBdr>
    </w:div>
    <w:div w:id="1927769018">
      <w:bodyDiv w:val="1"/>
      <w:marLeft w:val="0"/>
      <w:marRight w:val="0"/>
      <w:marTop w:val="0"/>
      <w:marBottom w:val="0"/>
      <w:divBdr>
        <w:top w:val="none" w:sz="0" w:space="0" w:color="auto"/>
        <w:left w:val="none" w:sz="0" w:space="0" w:color="auto"/>
        <w:bottom w:val="none" w:sz="0" w:space="0" w:color="auto"/>
        <w:right w:val="none" w:sz="0" w:space="0" w:color="auto"/>
      </w:divBdr>
    </w:div>
    <w:div w:id="1952201490">
      <w:bodyDiv w:val="1"/>
      <w:marLeft w:val="0"/>
      <w:marRight w:val="0"/>
      <w:marTop w:val="0"/>
      <w:marBottom w:val="0"/>
      <w:divBdr>
        <w:top w:val="none" w:sz="0" w:space="0" w:color="auto"/>
        <w:left w:val="none" w:sz="0" w:space="0" w:color="auto"/>
        <w:bottom w:val="none" w:sz="0" w:space="0" w:color="auto"/>
        <w:right w:val="none" w:sz="0" w:space="0" w:color="auto"/>
      </w:divBdr>
    </w:div>
    <w:div w:id="2038042858">
      <w:bodyDiv w:val="1"/>
      <w:marLeft w:val="0"/>
      <w:marRight w:val="0"/>
      <w:marTop w:val="0"/>
      <w:marBottom w:val="0"/>
      <w:divBdr>
        <w:top w:val="none" w:sz="0" w:space="0" w:color="auto"/>
        <w:left w:val="none" w:sz="0" w:space="0" w:color="auto"/>
        <w:bottom w:val="none" w:sz="0" w:space="0" w:color="auto"/>
        <w:right w:val="none" w:sz="0" w:space="0" w:color="auto"/>
      </w:divBdr>
    </w:div>
    <w:div w:id="2067951550">
      <w:bodyDiv w:val="1"/>
      <w:marLeft w:val="0"/>
      <w:marRight w:val="0"/>
      <w:marTop w:val="0"/>
      <w:marBottom w:val="0"/>
      <w:divBdr>
        <w:top w:val="none" w:sz="0" w:space="0" w:color="auto"/>
        <w:left w:val="none" w:sz="0" w:space="0" w:color="auto"/>
        <w:bottom w:val="none" w:sz="0" w:space="0" w:color="auto"/>
        <w:right w:val="none" w:sz="0" w:space="0" w:color="auto"/>
      </w:divBdr>
    </w:div>
    <w:div w:id="2081058269">
      <w:bodyDiv w:val="1"/>
      <w:marLeft w:val="0"/>
      <w:marRight w:val="0"/>
      <w:marTop w:val="0"/>
      <w:marBottom w:val="0"/>
      <w:divBdr>
        <w:top w:val="none" w:sz="0" w:space="0" w:color="auto"/>
        <w:left w:val="none" w:sz="0" w:space="0" w:color="auto"/>
        <w:bottom w:val="none" w:sz="0" w:space="0" w:color="auto"/>
        <w:right w:val="none" w:sz="0" w:space="0" w:color="auto"/>
      </w:divBdr>
    </w:div>
    <w:div w:id="2112512099">
      <w:bodyDiv w:val="1"/>
      <w:marLeft w:val="0"/>
      <w:marRight w:val="0"/>
      <w:marTop w:val="0"/>
      <w:marBottom w:val="0"/>
      <w:divBdr>
        <w:top w:val="none" w:sz="0" w:space="0" w:color="auto"/>
        <w:left w:val="none" w:sz="0" w:space="0" w:color="auto"/>
        <w:bottom w:val="none" w:sz="0" w:space="0" w:color="auto"/>
        <w:right w:val="none" w:sz="0" w:space="0" w:color="auto"/>
      </w:divBdr>
    </w:div>
    <w:div w:id="2143502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unicef-my.sharepoint.com/:p:/g/personal/hlaurenge_unicef_org1/EZ2cqOOmBexKj4caAk8iBYYB2tImOanX3HiqS0Fnhm1G_A?e=kcVia6"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GICHD_2013_Anonyme_v1">
  <a:themeElements>
    <a:clrScheme name="EORE AG">
      <a:dk1>
        <a:srgbClr val="201E21"/>
      </a:dk1>
      <a:lt1>
        <a:sysClr val="window" lastClr="FFFFFF"/>
      </a:lt1>
      <a:dk2>
        <a:srgbClr val="212532"/>
      </a:dk2>
      <a:lt2>
        <a:srgbClr val="F0EEEC"/>
      </a:lt2>
      <a:accent1>
        <a:srgbClr val="114171"/>
      </a:accent1>
      <a:accent2>
        <a:srgbClr val="9E2A2B"/>
      </a:accent2>
      <a:accent3>
        <a:srgbClr val="6D96B3"/>
      </a:accent3>
      <a:accent4>
        <a:srgbClr val="858079"/>
      </a:accent4>
      <a:accent5>
        <a:srgbClr val="F49243"/>
      </a:accent5>
      <a:accent6>
        <a:srgbClr val="FFD236"/>
      </a:accent6>
      <a:hlink>
        <a:srgbClr val="0563C1"/>
      </a:hlink>
      <a:folHlink>
        <a:srgbClr val="954F72"/>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674F252ACE1C46B3CE2C9F81163C18" ma:contentTypeVersion="13" ma:contentTypeDescription="Create a new document." ma:contentTypeScope="" ma:versionID="dee2b3f65250d30521689f2a952e2b68">
  <xsd:schema xmlns:xsd="http://www.w3.org/2001/XMLSchema" xmlns:xs="http://www.w3.org/2001/XMLSchema" xmlns:p="http://schemas.microsoft.com/office/2006/metadata/properties" xmlns:ns3="cb2558d8-20d4-42c8-a1b5-d1ecb25b706f" xmlns:ns4="ef33e41e-4b7c-4d8f-a5f4-2e2df4bb3b61" targetNamespace="http://schemas.microsoft.com/office/2006/metadata/properties" ma:root="true" ma:fieldsID="f0db9dfb9a086bb5206f4d036390794f" ns3:_="" ns4:_="">
    <xsd:import namespace="cb2558d8-20d4-42c8-a1b5-d1ecb25b706f"/>
    <xsd:import namespace="ef33e41e-4b7c-4d8f-a5f4-2e2df4bb3b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558d8-20d4-42c8-a1b5-d1ecb25b706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33e41e-4b7c-4d8f-a5f4-2e2df4bb3b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CFA99-88AC-4926-974A-64F358D8F84E}">
  <ds:schemaRefs>
    <ds:schemaRef ds:uri="http://schemas.microsoft.com/sharepoint/v3/contenttype/forms"/>
  </ds:schemaRefs>
</ds:datastoreItem>
</file>

<file path=customXml/itemProps2.xml><?xml version="1.0" encoding="utf-8"?>
<ds:datastoreItem xmlns:ds="http://schemas.openxmlformats.org/officeDocument/2006/customXml" ds:itemID="{24F940D9-2970-49F2-8DDD-0FAADB2A3CB2}">
  <ds:schemaRefs>
    <ds:schemaRef ds:uri="cb2558d8-20d4-42c8-a1b5-d1ecb25b706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f33e41e-4b7c-4d8f-a5f4-2e2df4bb3b61"/>
    <ds:schemaRef ds:uri="http://www.w3.org/XML/1998/namespace"/>
    <ds:schemaRef ds:uri="http://purl.org/dc/dcmitype/"/>
  </ds:schemaRefs>
</ds:datastoreItem>
</file>

<file path=customXml/itemProps3.xml><?xml version="1.0" encoding="utf-8"?>
<ds:datastoreItem xmlns:ds="http://schemas.openxmlformats.org/officeDocument/2006/customXml" ds:itemID="{97817858-F35C-49CC-A4A0-F814E861E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558d8-20d4-42c8-a1b5-d1ecb25b706f"/>
    <ds:schemaRef ds:uri="ef33e41e-4b7c-4d8f-a5f4-2e2df4bb3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8CAAE3-56A1-4A63-A270-28705D572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5507BA6C</Template>
  <TotalTime>2</TotalTime>
  <Pages>21</Pages>
  <Words>8103</Words>
  <Characters>49076</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EORE AG</dc:creator>
  <cp:keywords/>
  <cp:lastModifiedBy>Laruelle Matthieu</cp:lastModifiedBy>
  <cp:revision>4</cp:revision>
  <cp:lastPrinted>2020-07-01T09:04:00Z</cp:lastPrinted>
  <dcterms:created xsi:type="dcterms:W3CDTF">2020-07-01T09:04:00Z</dcterms:created>
  <dcterms:modified xsi:type="dcterms:W3CDTF">2020-07-08T13:32:00Z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0x0101002D674F252ACE1C46B3CE2C9F81163C18</vt:lpwstr>
  </property>
  <property fmtid="{D5CDD505-2E9C-101B-9397-08002B2CF9AE}" pid="3" name="Order">
    <vt:r8>400</vt:r8>
  </property>
  <property fmtid="{D5CDD505-2E9C-101B-9397-08002B2CF9AE}" pid="4" name="xd_Signature">
    <vt:bool>false</vt:bool>
  </property>
  <property fmtid="{D5CDD505-2E9C-101B-9397-08002B2CF9AE}" pid="5" name="xd_ProgID">
    <vt:lpwstr/>
  </property>
  <property fmtid="{D5CDD505-2E9C-101B-9397-08002B2CF9AE}" pid="6" name="GICHD Countries">
    <vt:lpwstr>204</vt:lpwstr>
  </property>
  <property fmtid="{D5CDD505-2E9C-101B-9397-08002B2CF9AE}" pid="7" name="_CopySource">
    <vt:lpwstr>http://ivory/infopoint/Workspace/GICHD/Corporate Contract model for companies.docx</vt:lpwstr>
  </property>
  <property fmtid="{D5CDD505-2E9C-101B-9397-08002B2CF9AE}" pid="8" name="TemplateUrl">
    <vt:lpwstr/>
  </property>
  <property fmtid="{D5CDD505-2E9C-101B-9397-08002B2CF9AE}" pid="9" name="GICHD Project Numbers">
    <vt:lpwstr>42</vt:lpwstr>
  </property>
  <property fmtid="{D5CDD505-2E9C-101B-9397-08002B2CF9AE}" pid="10" name="GICHD Strategic Goals">
    <vt:lpwstr>5</vt:lpwstr>
  </property>
</Properties>
</file>